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6F666" w14:textId="77777777" w:rsidR="00F0020C" w:rsidRDefault="00000000">
      <w:pPr>
        <w:spacing w:after="40"/>
        <w:jc w:val="center"/>
        <w:rPr>
          <w:lang w:val="ru-RU"/>
        </w:rPr>
      </w:pPr>
      <w:r>
        <w:rPr>
          <w:b/>
          <w:sz w:val="30"/>
          <w:lang w:val="ru-RU"/>
        </w:rPr>
        <w:t>ПОЛЬЗОВАТЕЛЬСКОЕ СОГЛАШЕНИЕ</w:t>
      </w:r>
    </w:p>
    <w:p w14:paraId="6A77A1C9" w14:textId="77777777" w:rsidR="00F0020C" w:rsidRDefault="00000000">
      <w:pPr>
        <w:spacing w:after="40"/>
        <w:jc w:val="center"/>
        <w:rPr>
          <w:lang w:val="ru-RU"/>
        </w:rPr>
      </w:pPr>
      <w:r>
        <w:rPr>
          <w:b/>
          <w:sz w:val="26"/>
          <w:lang w:val="ru-RU"/>
        </w:rPr>
        <w:t>о предоставлении права использования функциональных возможностей электронной торговой площадки «СТАН-Торги»</w:t>
      </w:r>
    </w:p>
    <w:p w14:paraId="0A868A3E" w14:textId="77777777" w:rsidR="00F0020C" w:rsidRDefault="00000000">
      <w:pPr>
        <w:spacing w:after="40"/>
        <w:jc w:val="center"/>
        <w:rPr>
          <w:lang w:val="ru-RU"/>
        </w:rPr>
      </w:pPr>
      <w:r>
        <w:rPr>
          <w:i/>
          <w:sz w:val="24"/>
          <w:lang w:val="ru-RU"/>
        </w:rPr>
        <w:t>(публичная оферта)</w:t>
      </w:r>
    </w:p>
    <w:p w14:paraId="6672276A" w14:textId="77777777" w:rsidR="00F0020C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1. Общие положения</w:t>
      </w:r>
    </w:p>
    <w:p w14:paraId="445F04DE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1.1. Настоящее Пользовательское соглашение (далее — «Соглашение») в соответствии со статьями 435, 437, 438 Гражданского кодекса Российской Федерации является официальным предложением (публичной офертой) Общества с ограниченной ответственностью «СТАН-ТОРГИ» (далее — «Оператор»; реквизиты Оператора указаны в разделе 12 Соглашения) заключить договор о предоставлении права использования функциональных возможностей электронной торговой площадки «СТАН-Торги» (далее — «ЭТП», «Система») на условиях настоящего Соглашения и приложений к нему.</w:t>
      </w:r>
    </w:p>
    <w:p w14:paraId="0C4AA00E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1.2. Оферта адресована неопределённому кругу лиц. Настоящее Соглашение является договором присоединения (статья 428 Гражданского кодекса Российской Федерации): его условия определяются Оператором и могут быть приняты Пользователем не иначе как путём присоединения к Соглашению в целом.</w:t>
      </w:r>
    </w:p>
    <w:p w14:paraId="25EADFAD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1.3. Акцептом оферты (согласием с условиями Соглашения без каких-либо изменений и (или) изъятий) признаётся совершение Пользователем одного из следующих действий:</w:t>
      </w:r>
    </w:p>
    <w:p w14:paraId="3E93B83B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а) проставление отметки в поле «Принимаю условия настоящего Пользовательского соглашения» в интерфейсе ЭТП «СТАН-Торги» при регистрации учётной записи, в том числе при первом входе с использованием сертификата КЭП; при этом Системой фиксируются дата и время (по московскому времени) проставления отметки и редакция Соглашения; либо</w:t>
      </w:r>
    </w:p>
    <w:p w14:paraId="440F74BE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б) иное действие, явно свидетельствующее о намерении Пользователя заключить Соглашение (в том числе начало использования закрытой части Системы).</w:t>
      </w:r>
    </w:p>
    <w:p w14:paraId="1FFE778A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1.4. Соглашение вступает в силу с момента акцепта и действует в течение неопределённого срока (раздел 10 Соглашения).</w:t>
      </w:r>
    </w:p>
    <w:p w14:paraId="003CACCC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1.5. Термины и определения, используемые в Соглашении и приложениях к нему, применяются в значениях, установленных Глоссарием (Приложение № 1 к Соглашению). Если значение термина не определено, оно толкуется в соответствии с законодательством Российской Федерации, обычаями делового оборота и функциональными возможностями Системы.</w:t>
      </w:r>
    </w:p>
    <w:p w14:paraId="32BDC269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 xml:space="preserve">1.6. Неотъемлемыми частями Соглашения являются следующие документы (далее при совместном упоминании — «Правила», «Инструкции»), публикуемые на сайте ЭТП «СТАН-Торги» в сети «Интернет» по адресу </w:t>
      </w:r>
      <w:r w:rsidR="00F0020C">
        <w:fldChar w:fldCharType="begin"/>
      </w:r>
      <w:r w:rsidR="00F0020C">
        <w:instrText>HYPERLINK</w:instrText>
      </w:r>
      <w:r w:rsidR="00F0020C" w:rsidRPr="00410C4A">
        <w:rPr>
          <w:lang w:val="ru-RU"/>
        </w:rPr>
        <w:instrText xml:space="preserve"> "</w:instrText>
      </w:r>
      <w:r w:rsidR="00F0020C">
        <w:instrText>https</w:instrText>
      </w:r>
      <w:r w:rsidR="00F0020C" w:rsidRPr="00410C4A">
        <w:rPr>
          <w:lang w:val="ru-RU"/>
        </w:rPr>
        <w:instrText>://</w:instrText>
      </w:r>
      <w:r w:rsidR="00F0020C">
        <w:instrText>stantorgi</w:instrText>
      </w:r>
      <w:r w:rsidR="00F0020C" w:rsidRPr="00410C4A">
        <w:rPr>
          <w:lang w:val="ru-RU"/>
        </w:rPr>
        <w:instrText>.</w:instrText>
      </w:r>
      <w:r w:rsidR="00F0020C">
        <w:instrText>ru</w:instrText>
      </w:r>
      <w:r w:rsidR="00F0020C" w:rsidRPr="00410C4A">
        <w:rPr>
          <w:lang w:val="ru-RU"/>
        </w:rPr>
        <w:instrText>" \</w:instrText>
      </w:r>
      <w:r w:rsidR="00F0020C">
        <w:instrText>o</w:instrText>
      </w:r>
      <w:r w:rsidR="00F0020C" w:rsidRPr="00410C4A">
        <w:rPr>
          <w:lang w:val="ru-RU"/>
        </w:rPr>
        <w:instrText xml:space="preserve"> "</w:instrText>
      </w:r>
      <w:r w:rsidR="00F0020C">
        <w:instrText>https</w:instrText>
      </w:r>
      <w:r w:rsidR="00F0020C" w:rsidRPr="00410C4A">
        <w:rPr>
          <w:lang w:val="ru-RU"/>
        </w:rPr>
        <w:instrText>://</w:instrText>
      </w:r>
      <w:r w:rsidR="00F0020C">
        <w:instrText>stantorgi</w:instrText>
      </w:r>
      <w:r w:rsidR="00F0020C" w:rsidRPr="00410C4A">
        <w:rPr>
          <w:lang w:val="ru-RU"/>
        </w:rPr>
        <w:instrText>.</w:instrText>
      </w:r>
      <w:r w:rsidR="00F0020C">
        <w:instrText>ru</w:instrText>
      </w:r>
      <w:r w:rsidR="00F0020C" w:rsidRPr="00410C4A">
        <w:rPr>
          <w:lang w:val="ru-RU"/>
        </w:rPr>
        <w:instrText>"</w:instrText>
      </w:r>
      <w:r w:rsidR="00F0020C">
        <w:fldChar w:fldCharType="separate"/>
      </w:r>
      <w:r w:rsidR="00F0020C">
        <w:rPr>
          <w:rStyle w:val="afff0"/>
          <w:color w:val="0070C0"/>
          <w:lang w:val="ru-RU"/>
        </w:rPr>
        <w:t>https://stantorgi.ru</w:t>
      </w:r>
      <w:r w:rsidR="00F0020C">
        <w:fldChar w:fldCharType="end"/>
      </w:r>
      <w:r>
        <w:rPr>
          <w:color w:val="0070C0"/>
          <w:lang w:val="ru-RU"/>
        </w:rPr>
        <w:t xml:space="preserve">, </w:t>
      </w:r>
      <w:r w:rsidR="00F0020C">
        <w:fldChar w:fldCharType="begin"/>
      </w:r>
      <w:r w:rsidR="00F0020C">
        <w:instrText>HYPERLINK</w:instrText>
      </w:r>
      <w:r w:rsidR="00F0020C" w:rsidRPr="00410C4A">
        <w:rPr>
          <w:lang w:val="ru-RU"/>
        </w:rPr>
        <w:instrText xml:space="preserve"> "</w:instrText>
      </w:r>
      <w:r w:rsidR="00F0020C">
        <w:instrText>https</w:instrText>
      </w:r>
      <w:r w:rsidR="00F0020C" w:rsidRPr="00410C4A">
        <w:rPr>
          <w:lang w:val="ru-RU"/>
        </w:rPr>
        <w:instrText>://</w:instrText>
      </w:r>
      <w:r w:rsidR="00F0020C">
        <w:instrText>stan</w:instrText>
      </w:r>
      <w:r w:rsidR="00F0020C" w:rsidRPr="00410C4A">
        <w:rPr>
          <w:lang w:val="ru-RU"/>
        </w:rPr>
        <w:instrText>-</w:instrText>
      </w:r>
      <w:r w:rsidR="00F0020C">
        <w:instrText>torgi</w:instrText>
      </w:r>
      <w:r w:rsidR="00F0020C" w:rsidRPr="00410C4A">
        <w:rPr>
          <w:lang w:val="ru-RU"/>
        </w:rPr>
        <w:instrText>.</w:instrText>
      </w:r>
      <w:r w:rsidR="00F0020C">
        <w:instrText>ru</w:instrText>
      </w:r>
      <w:r w:rsidR="00F0020C" w:rsidRPr="00410C4A">
        <w:rPr>
          <w:lang w:val="ru-RU"/>
        </w:rPr>
        <w:instrText>/" \</w:instrText>
      </w:r>
      <w:r w:rsidR="00F0020C">
        <w:instrText>o</w:instrText>
      </w:r>
      <w:r w:rsidR="00F0020C" w:rsidRPr="00410C4A">
        <w:rPr>
          <w:lang w:val="ru-RU"/>
        </w:rPr>
        <w:instrText xml:space="preserve"> "</w:instrText>
      </w:r>
      <w:r w:rsidR="00F0020C">
        <w:instrText>https</w:instrText>
      </w:r>
      <w:r w:rsidR="00F0020C" w:rsidRPr="00410C4A">
        <w:rPr>
          <w:lang w:val="ru-RU"/>
        </w:rPr>
        <w:instrText>://</w:instrText>
      </w:r>
      <w:r w:rsidR="00F0020C">
        <w:instrText>stan</w:instrText>
      </w:r>
      <w:r w:rsidR="00F0020C" w:rsidRPr="00410C4A">
        <w:rPr>
          <w:lang w:val="ru-RU"/>
        </w:rPr>
        <w:instrText>-</w:instrText>
      </w:r>
      <w:r w:rsidR="00F0020C">
        <w:instrText>torgi</w:instrText>
      </w:r>
      <w:r w:rsidR="00F0020C" w:rsidRPr="00410C4A">
        <w:rPr>
          <w:lang w:val="ru-RU"/>
        </w:rPr>
        <w:instrText>.</w:instrText>
      </w:r>
      <w:r w:rsidR="00F0020C">
        <w:instrText>ru</w:instrText>
      </w:r>
      <w:r w:rsidR="00F0020C" w:rsidRPr="00410C4A">
        <w:rPr>
          <w:lang w:val="ru-RU"/>
        </w:rPr>
        <w:instrText>/"</w:instrText>
      </w:r>
      <w:r w:rsidR="00F0020C">
        <w:fldChar w:fldCharType="separate"/>
      </w:r>
      <w:r w:rsidR="00F0020C">
        <w:rPr>
          <w:rStyle w:val="afff0"/>
          <w:color w:val="0070C0"/>
          <w:lang w:val="ru-RU"/>
        </w:rPr>
        <w:t>https://stan-torgi.ru/</w:t>
      </w:r>
      <w:r w:rsidR="00F0020C">
        <w:fldChar w:fldCharType="end"/>
      </w:r>
      <w:r>
        <w:rPr>
          <w:lang w:val="ru-RU"/>
        </w:rPr>
        <w:t xml:space="preserve"> (далее — «официальный сайт»):</w:t>
      </w:r>
      <w:r>
        <w:rPr>
          <w:strike/>
          <w:lang w:val="ru-RU"/>
        </w:rPr>
        <w:t xml:space="preserve"> </w:t>
      </w:r>
    </w:p>
    <w:p w14:paraId="34D807BE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Приложение № 1. Глоссарий;</w:t>
      </w:r>
    </w:p>
    <w:p w14:paraId="5EADE4D4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Приложение № 2. Общее описание функциональных возможностей ЭТП «СТАН-Торги»;</w:t>
      </w:r>
    </w:p>
    <w:p w14:paraId="50308CEE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Приложение № 3. Правила регистрации и аккредитации Пользователей на ЭТП «СТАН-Торги», включая Перечень документов и сведений, необходимых для прохождения процедуры аккредитации (приложение к указанным Правилам);</w:t>
      </w:r>
    </w:p>
    <w:p w14:paraId="719B6039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Приложение № 4. Правила открытия и ведения лицевых счетов Пользователей ЭТП «СТАН-Торги»;</w:t>
      </w:r>
    </w:p>
    <w:p w14:paraId="70C75BC5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Приложение № 5. Руководство по использованию Личного кабинета Пользователя;</w:t>
      </w:r>
    </w:p>
    <w:p w14:paraId="2B189884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Приложение № 6. Руководство Организатора процедур;</w:t>
      </w:r>
    </w:p>
    <w:p w14:paraId="699FD4D8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Приложение № 7. Руководство Участника процедур;</w:t>
      </w:r>
    </w:p>
    <w:p w14:paraId="33B55AF4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lastRenderedPageBreak/>
        <w:t>Приложение № 8. Тарифы Оператора ЭТП «СТАН-Торги»;</w:t>
      </w:r>
    </w:p>
    <w:p w14:paraId="4F6F1F7A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Политика обработки персональных данных (Политика конфиденциальности), размещаемая на официальном сайте.</w:t>
      </w:r>
    </w:p>
    <w:p w14:paraId="7517672E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1.7. В части проведения Процедур в секции «Закупки по 223-ФЗ» Соглашение и приложения применяются с учётом требований Федерального закона от 18.07.2011 № 223-ФЗ «О закупках товаров, работ, услуг отдельными видами юридических лиц» (далее — Федеральный закон № 223-ФЗ), принятых в соответствии с ним нормативных правовых актов Российской Федерации, а также документации соответствующих Процедур. Конкурентные процедуры проводятся с соблюдением антимонопольных требований, установленных статьёй 17 Федерального закона от 26.07.2006 № 135-ФЗ «О защите конкуренции» (далее — Федеральный закон № 135-ФЗ); положения части 1 указанной статьи в силу части 5 статьи 17 Федерального закона № 135-ФЗ распространяются в том числе на все закупки, осуществляемые в соответствии с Федеральным законом № 223-ФЗ. При проведении Процедур применяются принципы информационной открытости, равноправия, справедливости, состязательности, отсутствия дискриминации и необоснованных ограничений конкуренции (пункты 1 и 2 части 1 статьи 3 Федерального закона № 223-ФЗ, часть 2 статьи 17.3 Федерального закона № 135-ФЗ). Проведение закупок, для которых законодательством Российской Федерации установлена обязательность проведения на электронных площадках, включённых в утверждённый Правительством Российской Федерации перечень операторов электронных площадок, обеспечивается на таких площадках; условия Соглашения на указанные закупки не распространяются. Закрытые процедуры закупки в секции «Закупки по 223-ФЗ» на ЭТП не проводятся.</w:t>
      </w:r>
    </w:p>
    <w:p w14:paraId="1DDE4414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1.8. Оператор не участвует в Процедурах в качестве Участника процедуры, не координирует деятельность Организаторов процедур и Участников процедур и не совершает иных действий, которые приводят или могут привести к недопущению, ограничению или устранению конкуренции. Оператор обеспечивает равный доступ Пользователей к участию в Процедурах и к информации о Процедурах (часть 1 статьи 17 Федерального закона № 135-ФЗ).</w:t>
      </w:r>
    </w:p>
    <w:p w14:paraId="72E66A2F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1.9. Оператор предоставляет документы и информацию о проведении Процедур по мотивированным запросам федерального антимонопольного органа (его территориальных органов) в порядке и сроки, установленные законодательством Российской Федерации (статья 25 Федерального закона № 135-ФЗ).</w:t>
      </w:r>
    </w:p>
    <w:p w14:paraId="0C8492C0" w14:textId="77777777" w:rsidR="00F0020C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2. Предмет Соглашения</w:t>
      </w:r>
    </w:p>
    <w:p w14:paraId="54FE8506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2.1. По настоящему Соглашению Оператор обязуется предоставить Пользователю на срок действия Соглашения неисключительное право использования функциональных возможностей ЭТП «СТАН-Торги» в объёме, соответствующем роли организации Пользователя (полномочиям Пользователя) и выбранному им Тарифу, а Пользователь обязуется соблюдать установленные Соглашением и приложениями к нему правила и оплачивать вознаграждение Оператора в порядке и размере, предусмотренных действующими Тарифами (Приложение № 8).</w:t>
      </w:r>
    </w:p>
    <w:p w14:paraId="434216A3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2.2. Право использования предоставляется путём удалённого доступа Пользователя к Системе через сеть «Интернет» на территории Российской Федерации. Способы использования Системы определяются функциональными возможностями соответствующей секции Системы и выбранного Тарифа.</w:t>
      </w:r>
    </w:p>
    <w:p w14:paraId="596B54CA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2.3. Соглашение является смешанным договором, содержащим элементы лицензионного договора (глава 69 Гражданского кодекса Российской Федерации) и договора возмездного оказания услуг (глава 39 Гражданского кодекса Российской Федерации) (пункт 3 статьи 421 Гражданского кодекса Российской Федерации).</w:t>
      </w:r>
    </w:p>
    <w:p w14:paraId="05A0A09A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lastRenderedPageBreak/>
        <w:t>2.4. Доступ к функциональным возможностям ЭТП является дифференцированным в зависимости от роли организации Пользователя, её аккредитации, роли Пользователя в организации и объёма прав, предоставляемых выбранным Тарифом. Перечень секций Системы и их функциональных возможностей приведён в Общем описании функциональных возможностей (Приложение № 2).</w:t>
      </w:r>
    </w:p>
    <w:p w14:paraId="7E3DF7E7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2.5. Право использования предоставляется на срок действия Соглашения. После прекращения Соглашения доступ Пользователя к закрытой части Системы и права использования прекращаются, если иное не предусмотрено Соглашением.</w:t>
      </w:r>
    </w:p>
    <w:p w14:paraId="2A5C4F75" w14:textId="77777777" w:rsidR="00F0020C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3. Регистрация, аккредитация и Личный кабинет</w:t>
      </w:r>
    </w:p>
    <w:p w14:paraId="3260FCC5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3.1. Для получения доступа к закрытой части Системы лицо проходит регистрацию учётной записи (логин, адрес электронной почты, пароль) в порядке, установленном Правилами регистрации и аккредитации Пользователей (Приложение № 3). Личный кабинет доступен сразу после регистрации учётной записи. Действия на ЭТП совершаются от имени организации — юридического лица или индивидуального предпринимателя, добавленной в Личном кабинете по ИНН или по сертификату КЭП руководителя. Действовать на ЭТП в качестве Организатора процедур и Участника процедур вправе юридические лица, физические лица, в том числе зарегистрированные в качестве индивидуального предпринимателя (пункт 1.1 Приложения № 3 к Соглашению). Карточка организации проходит модерацию Оператора, в том числе повторную при изменении реквизитов; организация, находящаяся на модерации или заблокированная Оператором, не может публиковать Процедуры и подавать заявки.</w:t>
      </w:r>
    </w:p>
    <w:p w14:paraId="4DCDCD0F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3.2. Аккредитацию проходит организация с ролью «Участник»; аккредитация необходима для подачи заявок на участие в Процедурах и запросов разъяснений. Заказчик аккредитацию не проходит. Стандартная процедура аккредитации осуществляется без взимания платы. Ускоренная аккредитация является дополнительной платной услугой Оператора, стоимость которой определяется Тарифами (Приложение № 8).</w:t>
      </w:r>
    </w:p>
    <w:p w14:paraId="6B409AD4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3.3. При добавлении организации в Личном кабинете Пользователь выбирает роль организации (переключатель «Регистрирую как»): «Заказчик» либо «Участник» (в интерфейсе Системы — «Поставщик»). Организация имеет одну роль. Для работы в обеих ролях Пользователь добавляет в Личный кабинет вторую организацию с другой ролью.</w:t>
      </w:r>
    </w:p>
    <w:p w14:paraId="2880A3D0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3.4. Решение Оператора по заявке на аккредитацию (аккредитация либо отказ с указанием причины) направляется в Личный кабинет и на адреса электронной почты учётных записей организации; сведения об аккредитации организации отражаются в реестре Пользователей Системы. Аккредитация действует бессрочно, может быть отозвана решением Оператора с указанием причины и подлежит повторному прохождению при изменении ИНН, ОГРН или наименования организации. Вход в Личный кабинет осуществляется с использованием логина или адреса электронной почты и пароля; сертификат КЭП, привязанный Пользователем к учётной записи, используется для дополнительного подтверждения входа и не заменяет пароль.</w:t>
      </w:r>
    </w:p>
    <w:p w14:paraId="6A193282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 xml:space="preserve">3.5. Заявки на участие в Процедурах, ценовые предложения на аукционе и на переторжке, протоколы (членами комиссии; вместо подписания КЭП допускается приложение подписанного скан-образа протокола), договоры и дополнительные соглашения к ним, пакеты сведений, направляемые в ЕИС,</w:t>
      </w:r>
      <w:r>
        <w:rPr>
          <w:lang w:val="ru-RU"/>
          <w:highlight w:val="green"/>
        </w:rPr>
        <w:t xml:space="preserve"> заявки на вывод денежных средств,</w:t>
      </w:r>
      <w:r>
        <w:rPr>
          <w:lang w:val="ru-RU"/>
        </w:rPr>
        <w:t xml:space="preserve"> а также привязка сертификата и регистрация организации по сертификату подписываются квалифицированной электронной подписью (далее — «КЭП») в соответствии с Федеральным законом от 06.04.2011 № 63-ФЗ «Об электронной подписи»; протокол проведения аукциона формирует Система. Документы и действия, совершённые с использованием КЭП Пользователя (его уполномоченных лиц), порождают юридические последствия, аналогичные собственноручной подписи. Регистрация учётной записи, заявка на аккредитацию могут совершаться без КЭП. Все действия, совершённые с использованием логина (адреса электронной почты) и пароля или КЭП Пользователя, считаются совершёнными Пользователем, если иное не доказано. Проверка электронной подписи средствами Системы носит технический характер; при возникновении спора подпись проверяется сертифицированным средством.</w:t>
      </w:r>
    </w:p>
    <w:p w14:paraId="63B39E29" w14:textId="358D850A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 xml:space="preserve">3.6. Дополнительные пользователи (сотрудники организации) самостоятельно регистрируют учётные записи и подают из Личного кабинета заявку на присоединение к организации по ИНН. Роли пользователей в организации: Владелец (Основной пользователь), </w:t>
      </w:r>
      <w:r w:rsidRPr="0028076F">
        <w:rPr>
          <w:lang w:val="ru-RU"/>
        </w:rPr>
        <w:t>Закупщик,</w:t>
      </w:r>
      <w:r>
        <w:rPr>
          <w:lang w:val="ru-RU"/>
        </w:rPr>
        <w:t xml:space="preserve"> Сотрудник, </w:t>
      </w:r>
      <w:r w:rsidR="00F844FC" w:rsidRPr="0028076F">
        <w:rPr>
          <w:lang w:val="ru-RU"/>
        </w:rPr>
        <w:t>Уполномоченный представитель</w:t>
      </w:r>
      <w:r w:rsidR="00F844FC">
        <w:rPr>
          <w:lang w:val="ru-RU"/>
        </w:rPr>
        <w:t xml:space="preserve">, </w:t>
      </w:r>
      <w:r>
        <w:rPr>
          <w:lang w:val="ru-RU"/>
        </w:rPr>
        <w:t>Член комиссии. Сотрудник может быть исключён из организации. Порядок присоединения установлен Правилами регистрации и аккредитации Пользователей (Приложение № 3). Ответственность за действия дополнительных пользователей несёт Пользователь (организация).</w:t>
      </w:r>
    </w:p>
    <w:p w14:paraId="7CC76B2D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3.7. Пользователь несёт риски, связанные с неактуальностью сведений о нём (в том числе об Основном пользователе и дополнительных пользователях), размещённых в Личном кабинете.</w:t>
      </w:r>
    </w:p>
    <w:p w14:paraId="096786DA" w14:textId="77777777" w:rsidR="00F0020C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4. Лицевой счёт и порядок расчётов</w:t>
      </w:r>
    </w:p>
    <w:p w14:paraId="63AD0314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4.1. Для целей обеспечения заявок на участие в Процедурах и уплаты вознаграждения Оператора, списываемого с лицевого счёта в соответствии с Тарифами, Оператор открывает организации Пользователя лицевой счёт и осуществляет операции по нему в порядке, установленном Правилами открытия и ведения лицевых счетов Пользователей (Приложение № 4). Лицевой счёт открывается автоматически при добавлении организации в Личном кабинете и не требует активации. Абонентская плата (подписка) с лицевого счёта не списывается.</w:t>
      </w:r>
    </w:p>
    <w:p w14:paraId="7F5C04B5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4.2. Стоимость предоставления права использования Системы определяется на основании действующих Тарифов Оператора (Приложение № 8), размещённых в открытом доступе на официальном сайте.</w:t>
      </w:r>
    </w:p>
    <w:p w14:paraId="082D89EB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4.3. Выбор Тарифа, предусматривающего абонентскую плату (подписку), осуществляется Пользователем в разделе «Подписка» Личного кабинета путём оплаты сформированного в нём счёта. Абонентская плата вносится по отдельному счёту на оплату, а не с лицевого счёта. Доступ к секции Системы и (или) сервисам, входящим в выбранный Тариф, предоставляется Пользователю после поступления платы в соответствии с условиями Тарифа.</w:t>
      </w:r>
    </w:p>
    <w:p w14:paraId="5610C114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4.4. Для секций «Коммерческие закупки» и «Продажа» установлен тариф в виде абонентской платы за определяемый Тарифами период предоставления доступа к указанным секциям; абонентскую плату вносят как Организатор процедур, так и Участник процедуры. Тарифами устанавливаются лимиты периода на размещение Объявлений (предварительных предложений) и на участие в закупках способом «Электронный магазин». Без действующей подписки Процедуры указанных секций доступны для просмотра, однако публикация Процедуры и подача заявки невозможны. В случае неоплаты очередного периода Оператор приостанавливает доступ Пользователя к соответствующим секциям (сервисам) до момента оплаты; Процедуры, начатые до приостановления доступа, доводятся до завершения.</w:t>
      </w:r>
    </w:p>
    <w:p w14:paraId="5BCC0BC2" w14:textId="77777777" w:rsidR="00F0020C" w:rsidRDefault="00000000">
      <w:pPr>
        <w:spacing w:after="120"/>
        <w:ind w:firstLine="567"/>
        <w:jc w:val="both"/>
        <w:rPr>
          <w:lang w:val="ru-RU"/>
        </w:rPr>
      </w:pPr>
      <w:r w:rsidRPr="00410C4A">
        <w:rPr>
          <w:lang w:val="ru-RU"/>
        </w:rPr>
        <w:t>4.5. Для секции «Закупки по 223-ФЗ» плата взимается в размере и порядке, которые предусмотрены Тарифами (Приложение № 8). В случае если законодательством Российской Федерации для закупок, проводимых в соответствии с Федеральным законом № 223-ФЗ, установлены предельные размеры платы, взимаемой операторами электронных площадок, применяются такие предельные размеры.</w:t>
      </w:r>
    </w:p>
    <w:p w14:paraId="3DEBF61B" w14:textId="21452056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4.6. Публикация Процедур и подача заявок в секциях, доступ к которым предоставляется за абонентскую плату, возможны только после оплаты согласно условиям выбранного Тарифа. Регистрация, доступ к Личному кабинету, стандартная аккредитация, а также размещение Процедур и участие в Процедурах в секции «Закупки по 223-ФЗ» абонентской платой не обусловлены.</w:t>
      </w:r>
    </w:p>
    <w:p w14:paraId="204D417A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lastRenderedPageBreak/>
        <w:t xml:space="preserve">4.7. Если извещением о проведении Процедуры предусмотрено обеспечение заявок, оно предоставляется денежными средствами путём автоматического блокирования денежных средств на лицевом счёте организации при подаче заявки в порядке, установленном Приложением № 4, </w:t>
      </w:r>
      <w:r>
        <w:rPr>
          <w:color w:val="008000"/>
          <w:lang w:val="ru-RU"/>
        </w:rPr>
        <w:t>либо независимой/банковской гарантией, если извещением допускается такой способ обеспечения</w:t>
      </w:r>
      <w:r>
        <w:rPr>
          <w:lang w:val="ru-RU"/>
        </w:rPr>
        <w:t>.</w:t>
      </w:r>
      <w:r>
        <w:rPr>
          <w:color w:val="FF0000"/>
          <w:lang w:val="ru-RU"/>
        </w:rPr>
        <w:t xml:space="preserve"> Способы обеспечения заявки, его размер и порядок предоставления определяются Организатором процедур в извещении с учётом части 25 и части 27 статьи 3.2 Федерального закона № 223-ФЗ.</w:t>
      </w:r>
    </w:p>
    <w:p w14:paraId="4ED5ACBA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4.8. Изменение Тарифов осуществляется в порядке, предусмотренном пунктом 10.2 Соглашения.</w:t>
      </w:r>
    </w:p>
    <w:p w14:paraId="76503961" w14:textId="77777777" w:rsidR="00F0020C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5. Права и обязанности Оператора</w:t>
      </w:r>
    </w:p>
    <w:p w14:paraId="7EB627F5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5.1. Оператор обязан:</w:t>
      </w:r>
    </w:p>
    <w:p w14:paraId="2D27ED99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а) обеспечивать надлежащее функционирование программных и технических средств, используемых на ЭТП для проведения Процедур в электронной форме, в том числе обеспечивать резервное копирование и восстановление данных Системы;</w:t>
      </w:r>
    </w:p>
    <w:p w14:paraId="6FD2C957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б) обеспечивать равный доступ Пользователям к участию в Процедурах при условии соблюдения ими Соглашения, Правил и Инструкций;</w:t>
      </w:r>
    </w:p>
    <w:p w14:paraId="048308BE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в) открывать лицевой счёт организации Пользователя и осуществлять операции по нему в порядке, установленном Правилами открытия и ведения лицевых счетов Пользователей (Приложение № 4);</w:t>
      </w:r>
    </w:p>
    <w:p w14:paraId="31F3177F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г) обеспечивать конфиденциальность и безопасность обработки персональных данных в соответствии с Федеральным законом от 27.07.2006 № 152-ФЗ «О персональных данных» и Политикой обработки персональных данных;</w:t>
      </w:r>
    </w:p>
    <w:p w14:paraId="55D93EFF" w14:textId="73BC8B56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 xml:space="preserve">д) обеспечивать автоматизированную фиксацию с указанием даты, времени (по московскому времени) и автора следующих действий: </w:t>
      </w:r>
      <w:r w:rsidR="00F844FC" w:rsidRPr="00410C4A">
        <w:rPr>
          <w:lang w:val="ru-RU"/>
        </w:rPr>
        <w:t>публикации (размещения), изменения и (или) отмены процедур, направления запроса на разъяснения и ответа на них</w:t>
      </w:r>
      <w:r w:rsidR="00F844FC">
        <w:rPr>
          <w:lang w:val="ru-RU"/>
        </w:rPr>
        <w:t xml:space="preserve">, </w:t>
      </w:r>
      <w:r>
        <w:rPr>
          <w:lang w:val="ru-RU"/>
        </w:rPr>
        <w:t>подачи, изменения и отзыва заявок, ценовых предложений, подписания документов КЭП, формирования протоколов, заключения договоров, обмена сведениями с ЕИС, операций по лицевому счёту, а также действий Оператора в административной части Системы;</w:t>
      </w:r>
    </w:p>
    <w:p w14:paraId="0A52B101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е) обеспечивать размещение технических средств и баз данных Системы, используемых для предоставления доступа к функциональным возможностям ЭТП, на территории Российской Федерации, а также применять меры защиты информации, обрабатываемой в Системе, в соответствии с законодательством Российской Федерации;</w:t>
      </w:r>
    </w:p>
    <w:p w14:paraId="215D2A37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ж) обеспечивать равный доступ Пользователей к участию в Процедурах, не создавать участникам Процедур преимущественных условий участия, в том числе путём доступа к информации, и не координировать деятельность Участников процедур (часть 1 статьи 17 Федерального закона № 135-ФЗ).</w:t>
      </w:r>
    </w:p>
    <w:p w14:paraId="0E2931F6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5.2. Оператор вправе:</w:t>
      </w:r>
    </w:p>
    <w:p w14:paraId="5D6E63C3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а) проверять информацию и документы, предоставляемые Пользователем, в том числе запрашивать пояснения и подтверждающие документы;</w:t>
      </w:r>
    </w:p>
    <w:p w14:paraId="6EF60EEC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б) отзывать аккредитацию Участника решением с указанием причины, блокировать организацию или учётную запись Пользователя, ограничивать доступ Пользователя к Системе в случаях, предусмотренных Соглашением и приложениями к нему;</w:t>
      </w:r>
    </w:p>
    <w:p w14:paraId="70A760D4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в) вносить изменения в Соглашение и Тарифы в порядке, предусмотренном пунктом 10.2 Соглашения;</w:t>
      </w:r>
    </w:p>
    <w:p w14:paraId="603A90D6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г) взимать плату в размере и порядке, предусмотренных Тарифами (Приложение № 8);</w:t>
      </w:r>
    </w:p>
    <w:p w14:paraId="41D34A44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lastRenderedPageBreak/>
        <w:t>д) предоставлять по мотивированным запросам федерального антимонопольного органа (его территориальных органов) документы и информацию о проведении Процедур (статья 25 Федерального закона № 135-ФЗ).</w:t>
      </w:r>
    </w:p>
    <w:p w14:paraId="61D4FB73" w14:textId="77777777" w:rsidR="00F0020C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6. Права и обязанности Пользователя</w:t>
      </w:r>
    </w:p>
    <w:p w14:paraId="42BF686F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6.1. Пользователь вправе:</w:t>
      </w:r>
    </w:p>
    <w:p w14:paraId="44163541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а) размещать информацию о себе в базах данных Системы в качестве поставщика (продавца) и (или) покупателя (заказчика) товаров, работ, услуг;</w:t>
      </w:r>
    </w:p>
    <w:p w14:paraId="2305CAAB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б) самостоятельно организовывать и проводить Процедуры на ЭТП в секции «Коммерческие закупки», секции «Закупки по 223-ФЗ» и (или) секции «Продажа» в рамках роли своей организации и выбранного Тарифа;</w:t>
      </w:r>
    </w:p>
    <w:p w14:paraId="303CC39C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в) принимать участие в Процедурах, организуемых другими Пользователями, в секции «Коммерческие закупки», секции «Закупки по 223-ФЗ» и (или) секции «Продажа» в рамках роли своей организации, аккредитации (если она требуется) и выбранного Тарифа;</w:t>
      </w:r>
    </w:p>
    <w:p w14:paraId="26290812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г) изменять информацию о предлагаемых и (или) потребляемых им товарах, работах, услугах;</w:t>
      </w:r>
    </w:p>
    <w:p w14:paraId="0F27708F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д) использовать Систему в соответствии с Соглашением, Правилами и Инструкциями.</w:t>
      </w:r>
    </w:p>
    <w:p w14:paraId="7715E581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6.2. Пользователь обязан:</w:t>
      </w:r>
    </w:p>
    <w:p w14:paraId="1E12719D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а) соблюдать все положения Соглашения, Правил и Инструкций, действующие на ЭТП, и выполнять все требования и процедуры, указанные в Правилах и Инструкциях;</w:t>
      </w:r>
    </w:p>
    <w:p w14:paraId="449D4F4E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б) своевременно обновлять информацию о предлагаемых и (или) потребляемых им товарах, работах, услугах;</w:t>
      </w:r>
    </w:p>
    <w:p w14:paraId="61F830CF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в) вносить изменения в карточку организации в Личном кабинете в течение 5 (пяти) календарных дней с момента изменения соответствующих реквизитов; изменённые реквизиты проходят повторную модерацию Оператора;</w:t>
      </w:r>
    </w:p>
    <w:p w14:paraId="09756E5D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г) своевременно вносить плату за предоставление права доступа к функциональным возможностям Системы в соответствии с условиями Соглашения и выбранного Тарифа;</w:t>
      </w:r>
    </w:p>
    <w:p w14:paraId="79178E3E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д) обеспечивать сохранность логина (имени), пароля и ключей электронной подписи, не передавать их третьим лицам, незамедлительно уведомлять Оператора об утрате или компрометации указанных средств доступа;</w:t>
      </w:r>
    </w:p>
    <w:p w14:paraId="17B8E406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е) размещать на ЭТП достоверные сведения и документы, не нарушающие права и законные интересы третьих лиц и требования законодательства Российской Федерации;</w:t>
      </w:r>
    </w:p>
    <w:p w14:paraId="2B108BA1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ж) не заключать соглашения и не совершать согласованных действий с иными Пользователями (Организаторами процедур и Участниками процедур), которые приводят или могут привести к недопущению, ограничению или устранению конкуренции, в том числе к повышению, снижению или поддержанию цен на торгах, к разделу товарного рынка, к отказу от заключения договоров с определёнными продавцами или покупателями, а также не осуществлять координацию экономической деятельности иных хозяйствующих субъектов (статья 11 Федерального закона № 135-ФЗ).</w:t>
      </w:r>
    </w:p>
    <w:p w14:paraId="34C963F9" w14:textId="77777777" w:rsidR="00F0020C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7. Ответственность сторон</w:t>
      </w:r>
    </w:p>
    <w:p w14:paraId="2D0D220C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7.1. В случае неисполнения или ненадлежащего исполнения обязательств по Соглашению Стороны несут ответственность в соответствии с законодательством Российской Федерации.</w:t>
      </w:r>
    </w:p>
    <w:p w14:paraId="6BDFF0FC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 xml:space="preserve">7.2. Ответственность за достоверность информации и документов о Пользователе, предлагаемых и (или) потребляемых им товарах, работах, услугах, а также за содержание </w:t>
      </w:r>
      <w:r>
        <w:rPr>
          <w:lang w:val="ru-RU"/>
        </w:rPr>
        <w:lastRenderedPageBreak/>
        <w:t>информации, размещённой Пользователем в Системе, несёт Пользователь, разместивший указанную информацию (документы).</w:t>
      </w:r>
    </w:p>
    <w:p w14:paraId="092CF075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7.3. Оператор не несёт ответственности за убытки Пользователя, возникшие вследствие:</w:t>
      </w:r>
    </w:p>
    <w:p w14:paraId="1C116431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а) наличия у Пользователя аппаратно-технического комплекса и программного обеспечения, не соответствующих рекомендациям Оператора о рабочем месте Пользователя, а равно отсутствия у Пользователя необходимых технических возможностей для работы на ЭТП;</w:t>
      </w:r>
    </w:p>
    <w:p w14:paraId="623D5B4E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б) недостатков в работе сетевых систем и ограничений, введённых провайдером (компанией, предоставляющей Пользователю доступ во всемирную компьютерную сеть «Интернет»);</w:t>
      </w:r>
    </w:p>
    <w:p w14:paraId="66E49F51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в) незнания сотрудниками Пользователя Правил и Инструкций, действующих на ЭТП, невыполнения или ненадлежащего выполнения сотрудниками Пользователя требований и процедур, предусмотренных Правилами и Инструкциями, при условии, что Оператор действовал добросовестно и принял необходимые и достаточные меры для предотвращения соответствующих убытков;</w:t>
      </w:r>
    </w:p>
    <w:p w14:paraId="6BC0DA6A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г) несоблюдения Пользователем правил хранения логина (имени) и пароля либо передачи третьим лицам, не имеющим соответствующих полномочий, логина (имени) и пароля или ключей электронной подписи для входа в Систему и работы в ней;</w:t>
      </w:r>
    </w:p>
    <w:p w14:paraId="6087F53D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д) действий, совершённых от имени Пользователя третьими лицами вследствие некомпетентности указанных лиц или незнания ими Правил и Инструкций, действующих на ЭТП, если обязанность по обеспечению надлежащего поведения таких лиц возложена на Пользователя;</w:t>
      </w:r>
    </w:p>
    <w:p w14:paraId="5AD8122E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е) действий третьих лиц, совершённых с использованием доступа Пользователя, если такие действия стали возможны по вине Пользователя (его сотрудников).</w:t>
      </w:r>
    </w:p>
    <w:p w14:paraId="2E3E5391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7.4. Оператор несёт ответственность за неисполнение или ненадлежащее исполнение обязательств по Соглашению при наличии вины. Ответственность Оператора ограничивается суммой вознаграждения, уплаченного Пользователем за последний оплаченный период, и не включает возмещение упущенной выгоды, за исключением случаев умысла или грубой неосторожности Оператора, причинения вреда жизни или здоровью, а также случаев, когда ограничение ответственности не допускается законодательством Российской Федерации.</w:t>
      </w:r>
    </w:p>
    <w:p w14:paraId="2818A7E3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7.5. Оператор не несёт ответственности перед Пользователем, если информация, размещённая Пользователем в базе данных Системы, по вине самого Пользователя (его сотрудников) станет известна третьим лицам, использовавшим её для причинения ущерба Пользователю.</w:t>
      </w:r>
    </w:p>
    <w:p w14:paraId="54ED6A82" w14:textId="77777777" w:rsidR="00F0020C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8. Конфиденциальность и персональные данные</w:t>
      </w:r>
    </w:p>
    <w:p w14:paraId="331BDC29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8.1. Каждая из Сторон в рамках отношений по Соглашению обязуется сохранять конфиденциальность технологической, финансовой, коммерческой и иной информации, полученной от другой Стороны или ставшей ей известной при исполнении Соглашения, и принимать все возможные меры для защиты полученной конфиденциальной информации от разглашения.</w:t>
      </w:r>
    </w:p>
    <w:p w14:paraId="4ED9F00E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8.2. Передача конфиденциальной информации третьим лицам, опубликование или иное разглашение такой информации, в том числе в течение трёх лет после прекращения Соглашения, допускаются только с согласия другой Стороны, независимо от оснований прекращения Соглашения, за исключением случаев, предусмотренных законодательством Российской Федерации.</w:t>
      </w:r>
    </w:p>
    <w:p w14:paraId="19DB16CA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 xml:space="preserve">8.3. Не является конфиденциальной информация, размещённая Пользователем в открытой части Системы, право доступа к которой предоставлено неограниченному кругу лиц. </w:t>
      </w:r>
      <w:r>
        <w:rPr>
          <w:lang w:val="ru-RU"/>
        </w:rPr>
        <w:lastRenderedPageBreak/>
        <w:t>Ответственность за содержание такой информации, в том числе перед третьими лицами, несёт Пользователь.</w:t>
      </w:r>
    </w:p>
    <w:p w14:paraId="050604B9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8.4. В случае разглашения одной из Сторон третьим лицам конфиденциальной информации, а также информации, составляющей коммерческую тайну другой Стороны, виновная Сторона обязана возместить другой Стороне причинённые убытки.</w:t>
      </w:r>
    </w:p>
    <w:p w14:paraId="52EFEFAB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8.5. Оператор в соответствии с Федеральным законом от 27.07.2006 № 152-ФЗ «О персональных данных» является оператором, осуществляющим обработку персональных данных, сообщённых Пользователем при регистрации и аккредитации, а также в процессе работы на ЭТП. Обработка персональных данных осуществляется в соответствии с Политикой обработки персональных данных (Политикой конфиденциальности), размещённой на официальном сайте.</w:t>
      </w:r>
    </w:p>
    <w:p w14:paraId="59CA5161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8.6. Пользователь, а также каждый дополнительный пользователь выражают согласие на обработку Оператором персональных данных, доступных из представленных документов и сведений, в целях исполнения Соглашения, регистрации и аккредитации Пользователя, обеспечения функционирования Системы, направления уведомлений, а также в иных целях, предусмотренных Политикой обработки персональных данных. Присоединяясь к Соглашению, Пользователь подтверждает, что предпринял все необходимые меры для обеспечения соблюдения прав лиц, чьи персональные данные содержатся в документах и сведениях, предоставленных (сообщённых) в соответствии с Правилами регистрации и аккредитации Пользователей, при внесении изменений в эти документы и сведения, а также при присоединении сотрудников к организации, и обладает достаточными законными основаниями для передачи Оператору персональных данных третьих лиц.</w:t>
      </w:r>
    </w:p>
    <w:p w14:paraId="41A0E369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8.7. Оператор обеспечивает защиту информации, обрабатываемой в Системе, в соответствии с Федеральным законом от 27.07.2006 № 149-ФЗ «Об информации, информационных технологиях и о защите информации» и принятыми в соответствии с ним актами ФСБ России и ФСТЭК России, а также размещение технических средств и баз данных Системы на территории Российской Федерации. Порядок информирования Пользователя о сбоях и об инцидентах в работе Системы и порядок передачи Пользователю обработанной в Системе информации определяются Общим описанием функциональных возможностей (Приложение № 2 к Соглашению).</w:t>
      </w:r>
    </w:p>
    <w:p w14:paraId="5440FF92" w14:textId="77777777" w:rsidR="00F0020C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9. Обстоятельства непреодолимой силы</w:t>
      </w:r>
    </w:p>
    <w:p w14:paraId="5C99685E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9.1. Стороны освобождаются от ответственности за частичное или полное неисполнение обязательств по Соглашению, если такое неисполнение явилось следствием обстоятельств непреодолимой силы (форс-мажор), возникших после заключения Соглашения, которые Стороны не могли предвидеть или предотвратить разумными способами и средствами: наводнение, пожар, землетрясение и иные природные катаклизмы, военные действия, блокада, запретительные меры и акты государственных органов, разрушение коммуникаций и энергоснабжения, взрывы, а также иные обстоятельства, признаваемые законодательством Российской Федерации обстоятельствами непреодолимой силы.</w:t>
      </w:r>
    </w:p>
    <w:p w14:paraId="0445C04F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9.2. При наступлении обстоятельств, указанных в пункте 9.1 Соглашения, каждая Сторона обязана без промедления письменно известить о них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содержащие оценку их влияния на возможность исполнения Стороной своих обязательств по Соглашению.</w:t>
      </w:r>
    </w:p>
    <w:p w14:paraId="02EF483B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9.3. Если Сторона не направит или несвоевременно направит извещение, предусмотренное пунктом 9.2 Соглашения, она обязана возместить другой Стороне убытки, причинённые таким не направлением (несвоевременным направлением) извещения.</w:t>
      </w:r>
    </w:p>
    <w:p w14:paraId="30B2B562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lastRenderedPageBreak/>
        <w:t>9.4. Если обстоятельства, указанные в пункте 9.1 Соглашения, и их последствия продолжают действовать более двух месяцев, Стороны проводят переговоры для выявления приемлемых альтернативных способов исполнения Соглашения.</w:t>
      </w:r>
    </w:p>
    <w:p w14:paraId="52E5420D" w14:textId="77777777" w:rsidR="00F0020C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10. Срок действия Соглашения, порядок изменения и расторжения</w:t>
      </w:r>
    </w:p>
    <w:p w14:paraId="4023C836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10.1. Соглашение вступает в силу с момента акцепта Пользователем условий Соглашения и действует в течение неопределённого срока. В отношении порядка и условий заключения Соглашения применяются нормы Гражданского кодекса Российской Федерации, регулирующие заключение договора присоединения (статья 428 ГК РФ), направление оферты и акцепт (статьи 435–444 ГК РФ).</w:t>
      </w:r>
    </w:p>
    <w:p w14:paraId="37C49124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 xml:space="preserve">10.2. Оператор вправе в одностороннем порядке вносить изменения в условия Соглашения, а также в Тарифы. Изменения публикуются на официальном сайте и (или) в Личном кабинете Пользователя </w:t>
      </w:r>
      <w:r>
        <w:rPr>
          <w:color w:val="FF0000"/>
          <w:lang w:val="ru-RU"/>
        </w:rPr>
        <w:t>и вступают в силу с даты их опубликования.</w:t>
      </w:r>
      <w:r>
        <w:rPr>
          <w:lang w:val="ru-RU"/>
        </w:rPr>
        <w:t xml:space="preserve"> Пользователь вправе до вступления изменений в силу отказаться от Соглашения в порядке пункта 10.3. Ранее оплаченные Пользователем периоды оплачиваются по ранее действовавшим Тарифам.</w:t>
      </w:r>
    </w:p>
    <w:p w14:paraId="0B00DD89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Иные тарифы могут быть установлены в отдельных секциях или для отдельной Процедуры.</w:t>
      </w:r>
    </w:p>
    <w:p w14:paraId="3B3F80E0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10.3. Любая из Сторон вправе в любое время расторгнуть Соглашение в одностороннем внесудебном порядке, направив другой Стороне письменное уведомление не позднее чем за 5 (пять) рабочих дней до даты расторжения Соглашения.</w:t>
      </w:r>
    </w:p>
    <w:p w14:paraId="0E3FDC62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 xml:space="preserve">10.4. Пользователь вправе в любое время отказаться от выбранного Тарифа без его замены иным Тарифом, направив Оператору соответствующее заявление на адрес электронной почты </w:t>
      </w:r>
      <w:r w:rsidR="00F0020C">
        <w:fldChar w:fldCharType="begin"/>
      </w:r>
      <w:r w:rsidR="00F0020C">
        <w:instrText>HYPERLINK</w:instrText>
      </w:r>
      <w:r w:rsidR="00F0020C" w:rsidRPr="00410C4A">
        <w:rPr>
          <w:lang w:val="ru-RU"/>
        </w:rPr>
        <w:instrText xml:space="preserve"> "</w:instrText>
      </w:r>
      <w:r w:rsidR="00F0020C">
        <w:instrText>mailto</w:instrText>
      </w:r>
      <w:r w:rsidR="00F0020C" w:rsidRPr="00410C4A">
        <w:rPr>
          <w:lang w:val="ru-RU"/>
        </w:rPr>
        <w:instrText>:</w:instrText>
      </w:r>
      <w:r w:rsidR="00F0020C">
        <w:instrText>support</w:instrText>
      </w:r>
      <w:r w:rsidR="00F0020C" w:rsidRPr="00410C4A">
        <w:rPr>
          <w:lang w:val="ru-RU"/>
        </w:rPr>
        <w:instrText>@</w:instrText>
      </w:r>
      <w:r w:rsidR="00F0020C">
        <w:instrText>stan</w:instrText>
      </w:r>
      <w:r w:rsidR="00F0020C" w:rsidRPr="00410C4A">
        <w:rPr>
          <w:lang w:val="ru-RU"/>
        </w:rPr>
        <w:instrText>-</w:instrText>
      </w:r>
      <w:r w:rsidR="00F0020C">
        <w:instrText>torgi</w:instrText>
      </w:r>
      <w:r w:rsidR="00F0020C" w:rsidRPr="00410C4A">
        <w:rPr>
          <w:lang w:val="ru-RU"/>
        </w:rPr>
        <w:instrText>.</w:instrText>
      </w:r>
      <w:r w:rsidR="00F0020C">
        <w:instrText>ru</w:instrText>
      </w:r>
      <w:r w:rsidR="00F0020C" w:rsidRPr="00410C4A">
        <w:rPr>
          <w:lang w:val="ru-RU"/>
        </w:rPr>
        <w:instrText>" \</w:instrText>
      </w:r>
      <w:r w:rsidR="00F0020C">
        <w:instrText>o</w:instrText>
      </w:r>
      <w:r w:rsidR="00F0020C" w:rsidRPr="00410C4A">
        <w:rPr>
          <w:lang w:val="ru-RU"/>
        </w:rPr>
        <w:instrText xml:space="preserve"> "</w:instrText>
      </w:r>
      <w:r w:rsidR="00F0020C">
        <w:instrText>mailto</w:instrText>
      </w:r>
      <w:r w:rsidR="00F0020C" w:rsidRPr="00410C4A">
        <w:rPr>
          <w:lang w:val="ru-RU"/>
        </w:rPr>
        <w:instrText>:</w:instrText>
      </w:r>
      <w:r w:rsidR="00F0020C">
        <w:instrText>support</w:instrText>
      </w:r>
      <w:r w:rsidR="00F0020C" w:rsidRPr="00410C4A">
        <w:rPr>
          <w:lang w:val="ru-RU"/>
        </w:rPr>
        <w:instrText>@</w:instrText>
      </w:r>
      <w:r w:rsidR="00F0020C">
        <w:instrText>stan</w:instrText>
      </w:r>
      <w:r w:rsidR="00F0020C" w:rsidRPr="00410C4A">
        <w:rPr>
          <w:lang w:val="ru-RU"/>
        </w:rPr>
        <w:instrText>-</w:instrText>
      </w:r>
      <w:r w:rsidR="00F0020C">
        <w:instrText>torgi</w:instrText>
      </w:r>
      <w:r w:rsidR="00F0020C" w:rsidRPr="00410C4A">
        <w:rPr>
          <w:lang w:val="ru-RU"/>
        </w:rPr>
        <w:instrText>.</w:instrText>
      </w:r>
      <w:r w:rsidR="00F0020C">
        <w:instrText>ru</w:instrText>
      </w:r>
      <w:r w:rsidR="00F0020C" w:rsidRPr="00410C4A">
        <w:rPr>
          <w:lang w:val="ru-RU"/>
        </w:rPr>
        <w:instrText>"</w:instrText>
      </w:r>
      <w:r w:rsidR="00F0020C">
        <w:fldChar w:fldCharType="separate"/>
      </w:r>
      <w:r w:rsidR="00F0020C">
        <w:rPr>
          <w:rStyle w:val="afff0"/>
        </w:rPr>
        <w:t>support</w:t>
      </w:r>
      <w:r w:rsidR="00F0020C" w:rsidRPr="00F844FC">
        <w:rPr>
          <w:rStyle w:val="afff0"/>
          <w:lang w:val="ru-RU"/>
        </w:rPr>
        <w:t>@</w:t>
      </w:r>
      <w:r w:rsidR="00F0020C">
        <w:rPr>
          <w:rStyle w:val="afff0"/>
        </w:rPr>
        <w:t>stan</w:t>
      </w:r>
      <w:r w:rsidR="00F0020C" w:rsidRPr="00F844FC">
        <w:rPr>
          <w:rStyle w:val="afff0"/>
          <w:lang w:val="ru-RU"/>
        </w:rPr>
        <w:t>-</w:t>
      </w:r>
      <w:r w:rsidR="00F0020C">
        <w:rPr>
          <w:rStyle w:val="afff0"/>
        </w:rPr>
        <w:t>torgi</w:t>
      </w:r>
      <w:r w:rsidR="00F0020C" w:rsidRPr="00F844FC">
        <w:rPr>
          <w:rStyle w:val="afff0"/>
          <w:lang w:val="ru-RU"/>
        </w:rPr>
        <w:t>.</w:t>
      </w:r>
      <w:r w:rsidR="00F0020C">
        <w:rPr>
          <w:rStyle w:val="afff0"/>
        </w:rPr>
        <w:t>ru</w:t>
      </w:r>
      <w:r w:rsidR="00F0020C">
        <w:fldChar w:fldCharType="end"/>
      </w:r>
      <w:r>
        <w:rPr>
          <w:lang w:val="ru-RU"/>
        </w:rPr>
        <w:t xml:space="preserve">, </w:t>
      </w:r>
      <w:r w:rsidR="00F0020C">
        <w:fldChar w:fldCharType="begin"/>
      </w:r>
      <w:r w:rsidR="00F0020C">
        <w:instrText>HYPERLINK</w:instrText>
      </w:r>
      <w:r w:rsidR="00F0020C" w:rsidRPr="00410C4A">
        <w:rPr>
          <w:lang w:val="ru-RU"/>
        </w:rPr>
        <w:instrText xml:space="preserve"> "</w:instrText>
      </w:r>
      <w:r w:rsidR="00F0020C">
        <w:instrText>mailto</w:instrText>
      </w:r>
      <w:r w:rsidR="00F0020C" w:rsidRPr="00410C4A">
        <w:rPr>
          <w:lang w:val="ru-RU"/>
        </w:rPr>
        <w:instrText>:</w:instrText>
      </w:r>
      <w:r w:rsidR="00F0020C">
        <w:instrText>info</w:instrText>
      </w:r>
      <w:r w:rsidR="00F0020C" w:rsidRPr="00410C4A">
        <w:rPr>
          <w:lang w:val="ru-RU"/>
        </w:rPr>
        <w:instrText>@</w:instrText>
      </w:r>
      <w:r w:rsidR="00F0020C">
        <w:instrText>stan</w:instrText>
      </w:r>
      <w:r w:rsidR="00F0020C" w:rsidRPr="00410C4A">
        <w:rPr>
          <w:lang w:val="ru-RU"/>
        </w:rPr>
        <w:instrText>-</w:instrText>
      </w:r>
      <w:r w:rsidR="00F0020C">
        <w:instrText>torgi</w:instrText>
      </w:r>
      <w:r w:rsidR="00F0020C" w:rsidRPr="00410C4A">
        <w:rPr>
          <w:lang w:val="ru-RU"/>
        </w:rPr>
        <w:instrText>.</w:instrText>
      </w:r>
      <w:r w:rsidR="00F0020C">
        <w:instrText>ru</w:instrText>
      </w:r>
      <w:r w:rsidR="00F0020C" w:rsidRPr="00410C4A">
        <w:rPr>
          <w:lang w:val="ru-RU"/>
        </w:rPr>
        <w:instrText>" \</w:instrText>
      </w:r>
      <w:r w:rsidR="00F0020C">
        <w:instrText>o</w:instrText>
      </w:r>
      <w:r w:rsidR="00F0020C" w:rsidRPr="00410C4A">
        <w:rPr>
          <w:lang w:val="ru-RU"/>
        </w:rPr>
        <w:instrText xml:space="preserve"> "</w:instrText>
      </w:r>
      <w:r w:rsidR="00F0020C">
        <w:instrText>mailto</w:instrText>
      </w:r>
      <w:r w:rsidR="00F0020C" w:rsidRPr="00410C4A">
        <w:rPr>
          <w:lang w:val="ru-RU"/>
        </w:rPr>
        <w:instrText>:</w:instrText>
      </w:r>
      <w:r w:rsidR="00F0020C">
        <w:instrText>info</w:instrText>
      </w:r>
      <w:r w:rsidR="00F0020C" w:rsidRPr="00410C4A">
        <w:rPr>
          <w:lang w:val="ru-RU"/>
        </w:rPr>
        <w:instrText>@</w:instrText>
      </w:r>
      <w:r w:rsidR="00F0020C">
        <w:instrText>stan</w:instrText>
      </w:r>
      <w:r w:rsidR="00F0020C" w:rsidRPr="00410C4A">
        <w:rPr>
          <w:lang w:val="ru-RU"/>
        </w:rPr>
        <w:instrText>-</w:instrText>
      </w:r>
      <w:r w:rsidR="00F0020C">
        <w:instrText>torgi</w:instrText>
      </w:r>
      <w:r w:rsidR="00F0020C" w:rsidRPr="00410C4A">
        <w:rPr>
          <w:lang w:val="ru-RU"/>
        </w:rPr>
        <w:instrText>.</w:instrText>
      </w:r>
      <w:r w:rsidR="00F0020C">
        <w:instrText>ru</w:instrText>
      </w:r>
      <w:r w:rsidR="00F0020C" w:rsidRPr="00410C4A">
        <w:rPr>
          <w:lang w:val="ru-RU"/>
        </w:rPr>
        <w:instrText>"</w:instrText>
      </w:r>
      <w:r w:rsidR="00F0020C">
        <w:fldChar w:fldCharType="separate"/>
      </w:r>
      <w:r w:rsidR="00F0020C">
        <w:rPr>
          <w:rStyle w:val="afff0"/>
        </w:rPr>
        <w:t>info</w:t>
      </w:r>
      <w:r w:rsidR="00F0020C">
        <w:rPr>
          <w:rStyle w:val="afff0"/>
          <w:lang w:val="ru-RU"/>
        </w:rPr>
        <w:t>@stan-torgi.ru</w:t>
      </w:r>
      <w:r w:rsidR="00F0020C">
        <w:fldChar w:fldCharType="end"/>
      </w:r>
      <w:r>
        <w:rPr>
          <w:color w:val="0070C0"/>
          <w:lang w:val="ru-RU"/>
        </w:rPr>
        <w:t xml:space="preserve"> </w:t>
      </w:r>
      <w:r>
        <w:rPr>
          <w:lang w:val="ru-RU"/>
        </w:rPr>
        <w:t>или через раздел «Сообщения» Личного кабинета. При отказе от Тарифа доступ Пользователя к соответствующей секции (сервису) прекращается; абонентская плата, уплаченная за текущий оплаченный период, не возвращается.</w:t>
      </w:r>
    </w:p>
    <w:p w14:paraId="42F64842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10.5. Оператор вправе в одностороннем внесудебном порядке расторгнуть Соглашение, направив Пользователю уведомление не менее чем за 10 (десять) календарных дней, в случае нарушения Пользователем существенных условий Соглашения, в том числе: неисполнения обязанности по оплате в течение более чем 30 (тридцати) календарных дней с установленного срока; нарушения положений Соглашения о соблюдении Правил и Инструкций, размещённых на официальном сайте; нарушения положений о неразглашении конфиденциальной информации и о защите персональных данных. Оператор вправе расторгнуть Соглашение без предварительного уведомления в случае совершения Пользователем действий, создающих непосредственную угрозу функционированию Системы, правам и законным интересам Оператора или иных Пользователей.</w:t>
      </w:r>
    </w:p>
    <w:p w14:paraId="7D3EEFB4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10.6. После прекращения Соглашения Оператор прекращает предоставление Пользователю прав использования Системы. В течение 5 (пять) рабочих дней с даты получения заявления Пользователя о возврате денежных средств Оператор возвращает остаток денежных средств на лицевом счёте организации (за вычетом задолженности Пользователя перед Оператором) на банковский счёт этой организации, указанный в заявлении, в порядке, предусмотренном Приложением № 4.</w:t>
      </w:r>
    </w:p>
    <w:p w14:paraId="727EC386" w14:textId="77777777" w:rsidR="00F0020C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11. Разрешение споров</w:t>
      </w:r>
    </w:p>
    <w:p w14:paraId="041FE4B1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11.1. Для разрешения споров по Соглашению применяется обязательный претензионный порядок. Срок ответа на претензию — 10 (десять) рабочих дней с даты её получения.</w:t>
      </w:r>
    </w:p>
    <w:p w14:paraId="56951B43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11.2. Претензии Оператора, связанные с необходимостью оплаты Пользователем Тарифов Оператора, направляются Пользователю на адрес электронной почты, указанный при регистрации учётной записи. Такие претензии считаются полученными Пользователем на следующий рабочий день после их направления.</w:t>
      </w:r>
    </w:p>
    <w:p w14:paraId="3143C5B0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lastRenderedPageBreak/>
        <w:t>11.3. При недостижении согласия споры, вытекающие из Соглашения, подлежат рассмотрению в арбитражном суде по месту нахождения Оператора.</w:t>
      </w:r>
    </w:p>
    <w:p w14:paraId="1003BD71" w14:textId="77777777" w:rsidR="00F0020C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12. Заключительные положения и реквизиты Оператора</w:t>
      </w:r>
    </w:p>
    <w:p w14:paraId="7A875CFB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12.1. Документы и сведения, направляемые Сторонами в соответствии с Соглашением, если иной порядок не предусмотрен Соглашением или приложениями к нему, направляются в электронной форме через Личный кабинет и (или) на адрес электронной почты, указанный Пользователем при регистрации.</w:t>
      </w:r>
    </w:p>
    <w:p w14:paraId="36070D95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12.2. Электронные документы, подписанные электронной подписью в соответствии с Федеральным законом от 06.04.2011 № 63-ФЗ «Об электронной подписи», признаются Сторонами равнозначными документам на бумажном носителе, подписанным собственноручной подписью.</w:t>
      </w:r>
    </w:p>
    <w:p w14:paraId="47A0E578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12.3. Во всём, что не урегулировано Соглашением и приложениями к нему, Стороны руководствуются законодательством Российской Федерации.</w:t>
      </w:r>
    </w:p>
    <w:p w14:paraId="02900C5B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12.4. Реквизиты Оператора:</w:t>
      </w:r>
    </w:p>
    <w:p w14:paraId="6B36B7C7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Полное наименование: Общество с ограниченной ответственностью «СТАН-ТОРГИ»;</w:t>
      </w:r>
    </w:p>
    <w:p w14:paraId="2D353A64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ОГРН: 1267700282068; ИНН: 9727135222; КПП: 772701001;</w:t>
      </w:r>
    </w:p>
    <w:p w14:paraId="6E0DEADD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 xml:space="preserve">Адрес юридического лица: 117292, г. Москва, </w:t>
      </w:r>
      <w:proofErr w:type="spellStart"/>
      <w:r>
        <w:rPr>
          <w:lang w:val="ru-RU"/>
        </w:rPr>
        <w:t>вн.тер.г</w:t>
      </w:r>
      <w:proofErr w:type="spellEnd"/>
      <w:r>
        <w:rPr>
          <w:lang w:val="ru-RU"/>
        </w:rPr>
        <w:t xml:space="preserve">. муниципальный округ Академический, ул. Шверника, д. 6, к. 1, </w:t>
      </w:r>
      <w:proofErr w:type="spellStart"/>
      <w:r>
        <w:rPr>
          <w:lang w:val="ru-RU"/>
        </w:rPr>
        <w:t>помещ</w:t>
      </w:r>
      <w:proofErr w:type="spellEnd"/>
      <w:r>
        <w:rPr>
          <w:lang w:val="ru-RU"/>
        </w:rPr>
        <w:t>. 10П;</w:t>
      </w:r>
    </w:p>
    <w:p w14:paraId="26F806A4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 xml:space="preserve">Адрес электронной почты: </w:t>
      </w:r>
      <w:hyperlink r:id="rId8" w:tooltip="mailto:support@stan-torgi.ru" w:history="1">
        <w:r w:rsidR="00F0020C">
          <w:rPr>
            <w:rStyle w:val="afff0"/>
            <w:color w:val="0070C0"/>
            <w:lang w:val="ru-RU"/>
          </w:rPr>
          <w:t>support@stan-torgi.ru</w:t>
        </w:r>
      </w:hyperlink>
      <w:r>
        <w:rPr>
          <w:color w:val="0070C0"/>
          <w:lang w:val="ru-RU"/>
        </w:rPr>
        <w:t xml:space="preserve">, </w:t>
      </w:r>
      <w:hyperlink r:id="rId9" w:tooltip="mailto:info@stan-torgi.ru" w:history="1">
        <w:r w:rsidR="00F0020C">
          <w:rPr>
            <w:rStyle w:val="afff0"/>
            <w:color w:val="0070C0"/>
          </w:rPr>
          <w:t>info</w:t>
        </w:r>
        <w:r w:rsidR="00F0020C">
          <w:rPr>
            <w:rStyle w:val="afff0"/>
            <w:color w:val="0070C0"/>
            <w:lang w:val="ru-RU"/>
          </w:rPr>
          <w:t>@stan-torgi.ru</w:t>
        </w:r>
      </w:hyperlink>
      <w:r>
        <w:rPr>
          <w:lang w:val="ru-RU"/>
        </w:rPr>
        <w:t>;</w:t>
      </w:r>
    </w:p>
    <w:p w14:paraId="142379DA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Банковские реквизиты: р/с 40702810520000354743 в ООО «Банк Точка», к/с 30101810745374525104, БИК 044525104;</w:t>
      </w:r>
    </w:p>
    <w:p w14:paraId="3006637B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 xml:space="preserve">Сайт ЭТП «СТАН-Торги» (официальный сайт): </w:t>
      </w:r>
      <w:hyperlink r:id="rId10" w:tooltip="https://stantorgi.ru" w:history="1">
        <w:r w:rsidR="00F0020C">
          <w:rPr>
            <w:rStyle w:val="afff0"/>
            <w:color w:val="0070C0"/>
            <w:lang w:val="ru-RU"/>
          </w:rPr>
          <w:t>https://stantorgi.ru</w:t>
        </w:r>
      </w:hyperlink>
      <w:r>
        <w:rPr>
          <w:lang w:val="ru-RU"/>
        </w:rPr>
        <w:t xml:space="preserve">; сайт Оператора: </w:t>
      </w:r>
      <w:hyperlink r:id="rId11" w:tooltip="https://stan-torgi.ru" w:history="1">
        <w:r w:rsidR="00F0020C">
          <w:rPr>
            <w:rStyle w:val="afff0"/>
            <w:color w:val="0070C0"/>
            <w:lang w:val="ru-RU"/>
          </w:rPr>
          <w:t>https://stan-torgi.ru</w:t>
        </w:r>
      </w:hyperlink>
      <w:r>
        <w:rPr>
          <w:lang w:val="ru-RU"/>
        </w:rPr>
        <w:t>.</w:t>
      </w:r>
    </w:p>
    <w:p w14:paraId="002343DF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 xml:space="preserve">12.5. Настоящая редакция Соглашения опубликована на официальном сайте и </w:t>
      </w:r>
      <w:r>
        <w:rPr>
          <w:color w:val="FF0000"/>
          <w:lang w:val="ru-RU"/>
        </w:rPr>
        <w:t>вступает в силу в порядке, предусмотренном пунктом 10.2 Соглашения.</w:t>
      </w:r>
    </w:p>
    <w:sectPr w:rsidR="00F0020C">
      <w:footerReference w:type="default" r:id="rId12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2AB5B" w14:textId="77777777" w:rsidR="00C90DEC" w:rsidRDefault="00C90DEC">
      <w:pPr>
        <w:spacing w:after="0" w:line="240" w:lineRule="auto"/>
      </w:pPr>
      <w:r>
        <w:separator/>
      </w:r>
    </w:p>
  </w:endnote>
  <w:endnote w:type="continuationSeparator" w:id="0">
    <w:p w14:paraId="31B9C5C0" w14:textId="77777777" w:rsidR="00C90DEC" w:rsidRDefault="00C90D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4C6A6" w14:textId="77777777" w:rsidR="00F0020C" w:rsidRDefault="00000000">
    <w:pPr>
      <w:pStyle w:val="af0"/>
      <w:jc w:val="center"/>
    </w:pPr>
    <w:proofErr w:type="spellStart"/>
    <w:r>
      <w:rPr>
        <w:color w:val="000000"/>
        <w:sz w:val="20"/>
      </w:rPr>
      <w:t>Страница</w:t>
    </w:r>
    <w:proofErr w:type="spellEnd"/>
    <w:r>
      <w:rPr>
        <w:color w:val="000000"/>
        <w:sz w:val="20"/>
      </w:rPr>
      <w:t xml:space="preserve"> </w:t>
    </w:r>
    <w:r>
      <w:rPr>
        <w:color w:val="000000"/>
        <w:sz w:val="20"/>
      </w:rPr>
      <w:fldChar w:fldCharType="begin"/>
    </w:r>
    <w:r>
      <w:rPr>
        <w:color w:val="000000"/>
        <w:sz w:val="20"/>
      </w:rPr>
      <w:instrText>PAGE</w:instrText>
    </w:r>
    <w:r>
      <w:rPr>
        <w:color w:val="000000"/>
        <w:sz w:val="20"/>
      </w:rPr>
      <w:fldChar w:fldCharType="separate"/>
    </w:r>
    <w:r>
      <w:rPr>
        <w:color w:val="000000"/>
        <w:sz w:val="20"/>
      </w:rPr>
      <w:t>1</w:t>
    </w:r>
    <w:r>
      <w:rPr>
        <w:color w:val="000000"/>
        <w:sz w:val="20"/>
      </w:rPr>
      <w:fldChar w:fldCharType="end"/>
    </w:r>
    <w:r>
      <w:rPr>
        <w:color w:val="000000"/>
        <w:sz w:val="20"/>
      </w:rPr>
      <w:t xml:space="preserve"> </w:t>
    </w:r>
    <w:proofErr w:type="spellStart"/>
    <w:r>
      <w:rPr>
        <w:color w:val="000000"/>
        <w:sz w:val="20"/>
      </w:rPr>
      <w:t>из</w:t>
    </w:r>
    <w:proofErr w:type="spellEnd"/>
    <w:r>
      <w:rPr>
        <w:color w:val="000000"/>
        <w:sz w:val="20"/>
      </w:rPr>
      <w:t xml:space="preserve"> </w:t>
    </w:r>
    <w:r>
      <w:rPr>
        <w:color w:val="000000"/>
        <w:sz w:val="20"/>
      </w:rPr>
      <w:fldChar w:fldCharType="begin"/>
    </w:r>
    <w:r>
      <w:rPr>
        <w:color w:val="000000"/>
        <w:sz w:val="20"/>
      </w:rPr>
      <w:instrText>NUMPAGES</w:instrText>
    </w:r>
    <w:r>
      <w:rPr>
        <w:color w:val="000000"/>
        <w:sz w:val="20"/>
      </w:rPr>
      <w:fldChar w:fldCharType="separate"/>
    </w:r>
    <w:r>
      <w:rPr>
        <w:color w:val="000000"/>
        <w:sz w:val="20"/>
      </w:rPr>
      <w:t>2</w:t>
    </w:r>
    <w:r>
      <w:rPr>
        <w:color w:val="00000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44F2C" w14:textId="77777777" w:rsidR="00C90DEC" w:rsidRDefault="00C90DEC">
      <w:pPr>
        <w:spacing w:after="0" w:line="240" w:lineRule="auto"/>
      </w:pPr>
      <w:r>
        <w:separator/>
      </w:r>
    </w:p>
  </w:footnote>
  <w:footnote w:type="continuationSeparator" w:id="0">
    <w:p w14:paraId="0EE7F027" w14:textId="77777777" w:rsidR="00C90DEC" w:rsidRDefault="00C90D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23C16"/>
    <w:multiLevelType w:val="hybridMultilevel"/>
    <w:tmpl w:val="B36488D6"/>
    <w:lvl w:ilvl="0" w:tplc="F14466D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3F14603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14E378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1EC5F3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7A0CD7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CB4D1C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C0A7BC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8A6B1E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FE2991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22B11049"/>
    <w:multiLevelType w:val="hybridMultilevel"/>
    <w:tmpl w:val="5FFCB3C2"/>
    <w:lvl w:ilvl="0" w:tplc="8A160DA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404AD2C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CD2DB0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3204EB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6B6C2A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196925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F7A9B1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B1080B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0A07BC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2692582F"/>
    <w:multiLevelType w:val="hybridMultilevel"/>
    <w:tmpl w:val="93E2C7F0"/>
    <w:lvl w:ilvl="0" w:tplc="003E99D2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ED4865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97EE4C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A7C2E0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9C8774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3444DC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D08BCA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0602B0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9E638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2E7A4424"/>
    <w:multiLevelType w:val="hybridMultilevel"/>
    <w:tmpl w:val="92983FEA"/>
    <w:lvl w:ilvl="0" w:tplc="672EC93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A1AA998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530455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7A4137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496445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242C35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F1EE86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E724D2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30C9C8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381B34D2"/>
    <w:multiLevelType w:val="hybridMultilevel"/>
    <w:tmpl w:val="1E342206"/>
    <w:lvl w:ilvl="0" w:tplc="8DB4CF4E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A0EABAD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8FE81A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24CFE3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2D6DD0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3AEAA8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788555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7182E0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D74B8E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5A820216"/>
    <w:multiLevelType w:val="hybridMultilevel"/>
    <w:tmpl w:val="783AB9DE"/>
    <w:lvl w:ilvl="0" w:tplc="2DF0B342">
      <w:start w:val="1"/>
      <w:numFmt w:val="decimal"/>
      <w:pStyle w:val="30"/>
      <w:lvlText w:val="%1."/>
      <w:lvlJc w:val="left"/>
      <w:pPr>
        <w:tabs>
          <w:tab w:val="num" w:pos="1080"/>
        </w:tabs>
        <w:ind w:left="1080" w:hanging="360"/>
      </w:pPr>
    </w:lvl>
    <w:lvl w:ilvl="1" w:tplc="7D20A16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520546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074A32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07A4BA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EC87B5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92243F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AAC09A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6E08D9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6BC404A7"/>
    <w:multiLevelType w:val="hybridMultilevel"/>
    <w:tmpl w:val="351CC32A"/>
    <w:lvl w:ilvl="0" w:tplc="CB4A552A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 w:tplc="A386EB2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0C4CC4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1A2674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5264B5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4B8DB2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FBED55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F0C7A0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AB81CC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711A47EA"/>
    <w:multiLevelType w:val="hybridMultilevel"/>
    <w:tmpl w:val="235285FC"/>
    <w:lvl w:ilvl="0" w:tplc="8870A9A0">
      <w:start w:val="1"/>
      <w:numFmt w:val="decimal"/>
      <w:pStyle w:val="20"/>
      <w:lvlText w:val="%1."/>
      <w:lvlJc w:val="left"/>
      <w:pPr>
        <w:tabs>
          <w:tab w:val="num" w:pos="720"/>
        </w:tabs>
        <w:ind w:left="720" w:hanging="360"/>
      </w:pPr>
    </w:lvl>
    <w:lvl w:ilvl="1" w:tplc="DF0C73B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5DAE97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4D67AC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1E8028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4CE5D0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F5CA2F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BB4D99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57A49D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74344EA7"/>
    <w:multiLevelType w:val="hybridMultilevel"/>
    <w:tmpl w:val="665A11BE"/>
    <w:lvl w:ilvl="0" w:tplc="227C7AE2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5CA03A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0F0BC5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6605F7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B9462A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2BA41D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392C7C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BE61AF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B52049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 w16cid:durableId="324627415">
    <w:abstractNumId w:val="8"/>
  </w:num>
  <w:num w:numId="2" w16cid:durableId="2055494330">
    <w:abstractNumId w:val="2"/>
  </w:num>
  <w:num w:numId="3" w16cid:durableId="263922613">
    <w:abstractNumId w:val="4"/>
  </w:num>
  <w:num w:numId="4" w16cid:durableId="313342314">
    <w:abstractNumId w:val="3"/>
  </w:num>
  <w:num w:numId="5" w16cid:durableId="1111825941">
    <w:abstractNumId w:val="6"/>
  </w:num>
  <w:num w:numId="6" w16cid:durableId="1140804766">
    <w:abstractNumId w:val="7"/>
  </w:num>
  <w:num w:numId="7" w16cid:durableId="1612471076">
    <w:abstractNumId w:val="5"/>
  </w:num>
  <w:num w:numId="8" w16cid:durableId="969751332">
    <w:abstractNumId w:val="0"/>
  </w:num>
  <w:num w:numId="9" w16cid:durableId="13691810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020C"/>
    <w:rsid w:val="00010859"/>
    <w:rsid w:val="00033FCE"/>
    <w:rsid w:val="0028076F"/>
    <w:rsid w:val="0032201A"/>
    <w:rsid w:val="00410C4A"/>
    <w:rsid w:val="00982086"/>
    <w:rsid w:val="00C90DEC"/>
    <w:rsid w:val="00F0020C"/>
    <w:rsid w:val="00F84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4A754"/>
  <w15:docId w15:val="{74B726CA-F527-4984-A6A6-23CBF977E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Heading1Char">
    <w:name w:val="Heading 1 Char"/>
    <w:basedOn w:val="a2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2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2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2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2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2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2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2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2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2"/>
    <w:uiPriority w:val="10"/>
    <w:rPr>
      <w:sz w:val="48"/>
      <w:szCs w:val="48"/>
    </w:rPr>
  </w:style>
  <w:style w:type="character" w:customStyle="1" w:styleId="SubtitleChar">
    <w:name w:val="Subtitle Char"/>
    <w:basedOn w:val="a2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2"/>
    <w:uiPriority w:val="99"/>
  </w:style>
  <w:style w:type="character" w:customStyle="1" w:styleId="FooterChar">
    <w:name w:val="Footer Char"/>
    <w:basedOn w:val="a2"/>
    <w:uiPriority w:val="99"/>
  </w:style>
  <w:style w:type="character" w:customStyle="1" w:styleId="a5">
    <w:name w:val="Название объекта Знак"/>
    <w:basedOn w:val="a2"/>
    <w:link w:val="a6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3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3">
    <w:name w:val="Plain Table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7">
    <w:name w:val="footnote text"/>
    <w:basedOn w:val="a1"/>
    <w:link w:val="a8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8">
    <w:name w:val="Текст сноски Знак"/>
    <w:link w:val="a7"/>
    <w:uiPriority w:val="99"/>
    <w:rPr>
      <w:sz w:val="18"/>
    </w:rPr>
  </w:style>
  <w:style w:type="character" w:styleId="a9">
    <w:name w:val="footnote reference"/>
    <w:basedOn w:val="a2"/>
    <w:uiPriority w:val="99"/>
    <w:unhideWhenUsed/>
    <w:rPr>
      <w:vertAlign w:val="superscript"/>
    </w:rPr>
  </w:style>
  <w:style w:type="paragraph" w:styleId="aa">
    <w:name w:val="endnote text"/>
    <w:basedOn w:val="a1"/>
    <w:link w:val="ab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2"/>
    <w:uiPriority w:val="99"/>
    <w:semiHidden/>
    <w:unhideWhenUsed/>
    <w:rPr>
      <w:vertAlign w:val="superscript"/>
    </w:rPr>
  </w:style>
  <w:style w:type="paragraph" w:styleId="12">
    <w:name w:val="toc 1"/>
    <w:basedOn w:val="a1"/>
    <w:next w:val="a1"/>
    <w:uiPriority w:val="39"/>
    <w:unhideWhenUsed/>
    <w:pPr>
      <w:spacing w:after="57"/>
    </w:pPr>
  </w:style>
  <w:style w:type="paragraph" w:styleId="24">
    <w:name w:val="toc 2"/>
    <w:basedOn w:val="a1"/>
    <w:next w:val="a1"/>
    <w:uiPriority w:val="39"/>
    <w:unhideWhenUsed/>
    <w:pPr>
      <w:spacing w:after="57"/>
      <w:ind w:left="283"/>
    </w:pPr>
  </w:style>
  <w:style w:type="paragraph" w:styleId="34">
    <w:name w:val="toc 3"/>
    <w:basedOn w:val="a1"/>
    <w:next w:val="a1"/>
    <w:uiPriority w:val="39"/>
    <w:unhideWhenUsed/>
    <w:pPr>
      <w:spacing w:after="57"/>
      <w:ind w:left="567"/>
    </w:pPr>
  </w:style>
  <w:style w:type="paragraph" w:styleId="42">
    <w:name w:val="toc 4"/>
    <w:basedOn w:val="a1"/>
    <w:next w:val="a1"/>
    <w:uiPriority w:val="39"/>
    <w:unhideWhenUsed/>
    <w:pPr>
      <w:spacing w:after="57"/>
      <w:ind w:left="850"/>
    </w:pPr>
  </w:style>
  <w:style w:type="paragraph" w:styleId="52">
    <w:name w:val="toc 5"/>
    <w:basedOn w:val="a1"/>
    <w:next w:val="a1"/>
    <w:uiPriority w:val="39"/>
    <w:unhideWhenUsed/>
    <w:pPr>
      <w:spacing w:after="57"/>
      <w:ind w:left="1134"/>
    </w:pPr>
  </w:style>
  <w:style w:type="paragraph" w:styleId="61">
    <w:name w:val="toc 6"/>
    <w:basedOn w:val="a1"/>
    <w:next w:val="a1"/>
    <w:uiPriority w:val="39"/>
    <w:unhideWhenUsed/>
    <w:pPr>
      <w:spacing w:after="57"/>
      <w:ind w:left="1417"/>
    </w:pPr>
  </w:style>
  <w:style w:type="paragraph" w:styleId="71">
    <w:name w:val="toc 7"/>
    <w:basedOn w:val="a1"/>
    <w:next w:val="a1"/>
    <w:uiPriority w:val="39"/>
    <w:unhideWhenUsed/>
    <w:pPr>
      <w:spacing w:after="57"/>
      <w:ind w:left="1701"/>
    </w:pPr>
  </w:style>
  <w:style w:type="paragraph" w:styleId="81">
    <w:name w:val="toc 8"/>
    <w:basedOn w:val="a1"/>
    <w:next w:val="a1"/>
    <w:uiPriority w:val="39"/>
    <w:unhideWhenUsed/>
    <w:pPr>
      <w:spacing w:after="57"/>
      <w:ind w:left="1984"/>
    </w:pPr>
  </w:style>
  <w:style w:type="paragraph" w:styleId="91">
    <w:name w:val="toc 9"/>
    <w:basedOn w:val="a1"/>
    <w:next w:val="a1"/>
    <w:uiPriority w:val="39"/>
    <w:unhideWhenUsed/>
    <w:pPr>
      <w:spacing w:after="57"/>
      <w:ind w:left="2268"/>
    </w:pPr>
  </w:style>
  <w:style w:type="paragraph" w:styleId="ad">
    <w:name w:val="table of figures"/>
    <w:basedOn w:val="a1"/>
    <w:next w:val="a1"/>
    <w:uiPriority w:val="99"/>
    <w:unhideWhenUsed/>
    <w:pPr>
      <w:spacing w:after="0"/>
    </w:pPr>
  </w:style>
  <w:style w:type="paragraph" w:styleId="ae">
    <w:name w:val="header"/>
    <w:basedOn w:val="a1"/>
    <w:link w:val="af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">
    <w:name w:val="Верхний колонтитул Знак"/>
    <w:basedOn w:val="a2"/>
    <w:link w:val="ae"/>
    <w:uiPriority w:val="99"/>
  </w:style>
  <w:style w:type="paragraph" w:styleId="af0">
    <w:name w:val="footer"/>
    <w:basedOn w:val="a1"/>
    <w:link w:val="af1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1">
    <w:name w:val="Нижний колонтитул Знак"/>
    <w:basedOn w:val="a2"/>
    <w:link w:val="af0"/>
    <w:uiPriority w:val="99"/>
  </w:style>
  <w:style w:type="paragraph" w:styleId="af2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3">
    <w:name w:val="Title"/>
    <w:basedOn w:val="a1"/>
    <w:next w:val="a1"/>
    <w:link w:val="af4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f4">
    <w:name w:val="Заголовок Знак"/>
    <w:basedOn w:val="a2"/>
    <w:link w:val="af3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f5">
    <w:name w:val="Subtitle"/>
    <w:basedOn w:val="a1"/>
    <w:next w:val="a1"/>
    <w:link w:val="af6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6">
    <w:name w:val="Подзаголовок Знак"/>
    <w:basedOn w:val="a2"/>
    <w:link w:val="af5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7">
    <w:name w:val="List Paragraph"/>
    <w:basedOn w:val="a1"/>
    <w:uiPriority w:val="34"/>
    <w:qFormat/>
    <w:pPr>
      <w:ind w:left="720"/>
      <w:contextualSpacing/>
    </w:pPr>
  </w:style>
  <w:style w:type="paragraph" w:styleId="af8">
    <w:name w:val="Body Text"/>
    <w:basedOn w:val="a1"/>
    <w:link w:val="af9"/>
    <w:uiPriority w:val="99"/>
    <w:unhideWhenUsed/>
    <w:pPr>
      <w:spacing w:after="120"/>
    </w:pPr>
  </w:style>
  <w:style w:type="character" w:customStyle="1" w:styleId="af9">
    <w:name w:val="Основной текст Знак"/>
    <w:basedOn w:val="a2"/>
    <w:link w:val="af8"/>
    <w:uiPriority w:val="99"/>
  </w:style>
  <w:style w:type="paragraph" w:styleId="25">
    <w:name w:val="Body Text 2"/>
    <w:basedOn w:val="a1"/>
    <w:link w:val="26"/>
    <w:uiPriority w:val="99"/>
    <w:unhideWhenUsed/>
    <w:pPr>
      <w:spacing w:after="120" w:line="480" w:lineRule="auto"/>
    </w:pPr>
  </w:style>
  <w:style w:type="character" w:customStyle="1" w:styleId="26">
    <w:name w:val="Основной текст 2 Знак"/>
    <w:basedOn w:val="a2"/>
    <w:link w:val="25"/>
    <w:uiPriority w:val="99"/>
  </w:style>
  <w:style w:type="paragraph" w:styleId="35">
    <w:name w:val="Body Text 3"/>
    <w:basedOn w:val="a1"/>
    <w:link w:val="36"/>
    <w:uiPriority w:val="99"/>
    <w:unhideWhenUsed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2"/>
    <w:link w:val="35"/>
    <w:uiPriority w:val="99"/>
    <w:rPr>
      <w:sz w:val="16"/>
      <w:szCs w:val="16"/>
    </w:rPr>
  </w:style>
  <w:style w:type="paragraph" w:styleId="afa">
    <w:name w:val="List"/>
    <w:basedOn w:val="a1"/>
    <w:uiPriority w:val="99"/>
    <w:unhideWhenUsed/>
    <w:pPr>
      <w:ind w:left="360" w:hanging="360"/>
      <w:contextualSpacing/>
    </w:pPr>
  </w:style>
  <w:style w:type="paragraph" w:styleId="27">
    <w:name w:val="List 2"/>
    <w:basedOn w:val="a1"/>
    <w:uiPriority w:val="99"/>
    <w:unhideWhenUsed/>
    <w:pPr>
      <w:ind w:left="720" w:hanging="360"/>
      <w:contextualSpacing/>
    </w:pPr>
  </w:style>
  <w:style w:type="paragraph" w:styleId="37">
    <w:name w:val="List 3"/>
    <w:basedOn w:val="a1"/>
    <w:uiPriority w:val="99"/>
    <w:unhideWhenUsed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pPr>
      <w:numPr>
        <w:numId w:val="1"/>
      </w:numPr>
      <w:contextualSpacing/>
    </w:pPr>
  </w:style>
  <w:style w:type="paragraph" w:styleId="2">
    <w:name w:val="List Bullet 2"/>
    <w:basedOn w:val="a1"/>
    <w:uiPriority w:val="99"/>
    <w:unhideWhenUsed/>
    <w:pPr>
      <w:numPr>
        <w:numId w:val="2"/>
      </w:numPr>
      <w:contextualSpacing/>
    </w:pPr>
  </w:style>
  <w:style w:type="paragraph" w:styleId="3">
    <w:name w:val="List Bullet 3"/>
    <w:basedOn w:val="a1"/>
    <w:uiPriority w:val="99"/>
    <w:unhideWhenUsed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pPr>
      <w:numPr>
        <w:numId w:val="5"/>
      </w:numPr>
      <w:contextualSpacing/>
    </w:pPr>
  </w:style>
  <w:style w:type="paragraph" w:styleId="20">
    <w:name w:val="List Number 2"/>
    <w:basedOn w:val="a1"/>
    <w:uiPriority w:val="99"/>
    <w:unhideWhenUsed/>
    <w:pPr>
      <w:numPr>
        <w:numId w:val="6"/>
      </w:numPr>
      <w:contextualSpacing/>
    </w:pPr>
  </w:style>
  <w:style w:type="paragraph" w:styleId="30">
    <w:name w:val="List Number 3"/>
    <w:basedOn w:val="a1"/>
    <w:uiPriority w:val="99"/>
    <w:unhideWhenUsed/>
    <w:pPr>
      <w:numPr>
        <w:numId w:val="7"/>
      </w:numPr>
      <w:contextualSpacing/>
    </w:pPr>
  </w:style>
  <w:style w:type="paragraph" w:styleId="afb">
    <w:name w:val="List Continue"/>
    <w:basedOn w:val="a1"/>
    <w:uiPriority w:val="99"/>
    <w:unhideWhenUsed/>
    <w:pPr>
      <w:spacing w:after="120"/>
      <w:ind w:left="360"/>
      <w:contextualSpacing/>
    </w:pPr>
  </w:style>
  <w:style w:type="paragraph" w:styleId="28">
    <w:name w:val="List Continue 2"/>
    <w:basedOn w:val="a1"/>
    <w:uiPriority w:val="99"/>
    <w:unhideWhenUsed/>
    <w:pPr>
      <w:spacing w:after="120"/>
      <w:ind w:left="720"/>
      <w:contextualSpacing/>
    </w:pPr>
  </w:style>
  <w:style w:type="paragraph" w:styleId="38">
    <w:name w:val="List Continue 3"/>
    <w:basedOn w:val="a1"/>
    <w:uiPriority w:val="99"/>
    <w:unhideWhenUsed/>
    <w:pPr>
      <w:spacing w:after="120"/>
      <w:ind w:left="1080"/>
      <w:contextualSpacing/>
    </w:pPr>
  </w:style>
  <w:style w:type="paragraph" w:styleId="afc">
    <w:name w:val="macro"/>
    <w:link w:val="afd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d">
    <w:name w:val="Текст макроса Знак"/>
    <w:basedOn w:val="a2"/>
    <w:link w:val="afc"/>
    <w:uiPriority w:val="99"/>
    <w:rPr>
      <w:rFonts w:ascii="Courier" w:hAnsi="Courier"/>
      <w:sz w:val="20"/>
      <w:szCs w:val="20"/>
    </w:rPr>
  </w:style>
  <w:style w:type="paragraph" w:styleId="29">
    <w:name w:val="Quote"/>
    <w:basedOn w:val="a1"/>
    <w:next w:val="a1"/>
    <w:link w:val="2a"/>
    <w:uiPriority w:val="29"/>
    <w:qFormat/>
    <w:rPr>
      <w:i/>
      <w:iCs/>
      <w:color w:val="000000" w:themeColor="text1"/>
    </w:rPr>
  </w:style>
  <w:style w:type="character" w:customStyle="1" w:styleId="2a">
    <w:name w:val="Цитата 2 Знак"/>
    <w:basedOn w:val="a2"/>
    <w:link w:val="29"/>
    <w:uiPriority w:val="29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6">
    <w:name w:val="caption"/>
    <w:basedOn w:val="a1"/>
    <w:next w:val="a1"/>
    <w:link w:val="a5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e">
    <w:name w:val="Strong"/>
    <w:basedOn w:val="a2"/>
    <w:uiPriority w:val="22"/>
    <w:qFormat/>
    <w:rPr>
      <w:b/>
      <w:bCs/>
    </w:rPr>
  </w:style>
  <w:style w:type="character" w:styleId="aff">
    <w:name w:val="Emphasis"/>
    <w:basedOn w:val="a2"/>
    <w:uiPriority w:val="20"/>
    <w:qFormat/>
    <w:rPr>
      <w:i/>
      <w:iCs/>
    </w:rPr>
  </w:style>
  <w:style w:type="paragraph" w:styleId="aff0">
    <w:name w:val="Intense Quote"/>
    <w:basedOn w:val="a1"/>
    <w:next w:val="a1"/>
    <w:link w:val="aff1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1">
    <w:name w:val="Выделенная цитата Знак"/>
    <w:basedOn w:val="a2"/>
    <w:link w:val="aff0"/>
    <w:uiPriority w:val="30"/>
    <w:rPr>
      <w:b/>
      <w:bCs/>
      <w:i/>
      <w:iCs/>
      <w:color w:val="4F81BD" w:themeColor="accent1"/>
    </w:rPr>
  </w:style>
  <w:style w:type="character" w:styleId="aff2">
    <w:name w:val="Subtle Emphasis"/>
    <w:basedOn w:val="a2"/>
    <w:uiPriority w:val="19"/>
    <w:qFormat/>
    <w:rPr>
      <w:i/>
      <w:iCs/>
      <w:color w:val="808080" w:themeColor="text1" w:themeTint="7F"/>
    </w:rPr>
  </w:style>
  <w:style w:type="character" w:styleId="aff3">
    <w:name w:val="Intense Emphasis"/>
    <w:basedOn w:val="a2"/>
    <w:uiPriority w:val="21"/>
    <w:qFormat/>
    <w:rPr>
      <w:b/>
      <w:bCs/>
      <w:i/>
      <w:iCs/>
      <w:color w:val="4F81BD" w:themeColor="accent1"/>
    </w:rPr>
  </w:style>
  <w:style w:type="character" w:styleId="aff4">
    <w:name w:val="Subtle Reference"/>
    <w:basedOn w:val="a2"/>
    <w:uiPriority w:val="31"/>
    <w:qFormat/>
    <w:rPr>
      <w:smallCaps/>
      <w:color w:val="C0504D" w:themeColor="accent2"/>
      <w:u w:val="single"/>
    </w:rPr>
  </w:style>
  <w:style w:type="character" w:styleId="aff5">
    <w:name w:val="Intense Reference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f6">
    <w:name w:val="Book Title"/>
    <w:basedOn w:val="a2"/>
    <w:uiPriority w:val="33"/>
    <w:qFormat/>
    <w:rPr>
      <w:b/>
      <w:bCs/>
      <w:smallCaps/>
      <w:spacing w:val="5"/>
    </w:rPr>
  </w:style>
  <w:style w:type="paragraph" w:styleId="aff7">
    <w:name w:val="TOC Heading"/>
    <w:basedOn w:val="1"/>
    <w:next w:val="a1"/>
    <w:uiPriority w:val="39"/>
    <w:semiHidden/>
    <w:unhideWhenUsed/>
    <w:qFormat/>
    <w:pPr>
      <w:outlineLvl w:val="9"/>
    </w:pPr>
  </w:style>
  <w:style w:type="table" w:styleId="aff8">
    <w:name w:val="Table Grid"/>
    <w:basedOn w:val="a3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9">
    <w:name w:val="Light Shading"/>
    <w:basedOn w:val="a3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</w:style>
  <w:style w:type="table" w:styleId="-11">
    <w:name w:val="Light Shading Accent 1"/>
    <w:basedOn w:val="a3"/>
    <w:uiPriority w:val="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</w:style>
  <w:style w:type="table" w:styleId="-21">
    <w:name w:val="Light Shading Accent 2"/>
    <w:basedOn w:val="a3"/>
    <w:uiPriority w:val="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one" w:sz="4" w:space="0" w:color="000000"/>
          <w:bottom w:val="single" w:sz="8" w:space="0" w:color="C0504D" w:themeColor="accent2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one" w:sz="4" w:space="0" w:color="000000"/>
          <w:bottom w:val="single" w:sz="8" w:space="0" w:color="C0504D" w:themeColor="accent2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</w:style>
  <w:style w:type="table" w:styleId="-31">
    <w:name w:val="Light Shading Accent 3"/>
    <w:basedOn w:val="a3"/>
    <w:uiPriority w:val="6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one" w:sz="4" w:space="0" w:color="000000"/>
          <w:bottom w:val="single" w:sz="8" w:space="0" w:color="9BBB59" w:themeColor="accent3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one" w:sz="4" w:space="0" w:color="000000"/>
          <w:bottom w:val="single" w:sz="8" w:space="0" w:color="9BBB59" w:themeColor="accent3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</w:style>
  <w:style w:type="table" w:styleId="-41">
    <w:name w:val="Light Shading Accent 4"/>
    <w:basedOn w:val="a3"/>
    <w:uiPriority w:val="6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one" w:sz="4" w:space="0" w:color="000000"/>
          <w:bottom w:val="single" w:sz="8" w:space="0" w:color="8064A2" w:themeColor="accent4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one" w:sz="4" w:space="0" w:color="000000"/>
          <w:bottom w:val="single" w:sz="8" w:space="0" w:color="8064A2" w:themeColor="accent4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</w:style>
  <w:style w:type="table" w:styleId="-51">
    <w:name w:val="Light Shading Accent 5"/>
    <w:basedOn w:val="a3"/>
    <w:uiPriority w:val="6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one" w:sz="4" w:space="0" w:color="000000"/>
          <w:bottom w:val="single" w:sz="8" w:space="0" w:color="4BACC6" w:themeColor="accent5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one" w:sz="4" w:space="0" w:color="000000"/>
          <w:bottom w:val="single" w:sz="8" w:space="0" w:color="4BACC6" w:themeColor="accent5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</w:style>
  <w:style w:type="table" w:styleId="-61">
    <w:name w:val="Light Shading Accent 6"/>
    <w:basedOn w:val="a3"/>
    <w:uiPriority w:val="6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one" w:sz="4" w:space="0" w:color="000000"/>
          <w:bottom w:val="single" w:sz="8" w:space="0" w:color="F79646" w:themeColor="accent6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one" w:sz="4" w:space="0" w:color="000000"/>
          <w:bottom w:val="single" w:sz="8" w:space="0" w:color="F79646" w:themeColor="accent6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</w:style>
  <w:style w:type="table" w:styleId="affa">
    <w:name w:val="Light List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2">
    <w:name w:val="Light List Accent 2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2">
    <w:name w:val="Light List Accent 3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2">
    <w:name w:val="Light List Accent 4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2">
    <w:name w:val="Light List Accent 5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2">
    <w:name w:val="Light List Accent 6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b">
    <w:name w:val="Light Grid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3">
    <w:name w:val="Light Grid Accent 1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3">
    <w:name w:val="Light Grid Accent 2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3">
    <w:name w:val="Light Grid Accent 3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3">
    <w:name w:val="Light Grid Accent 4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3">
    <w:name w:val="Light Grid Accent 5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3">
    <w:name w:val="Light Grid Accent 6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13">
    <w:name w:val="Medium Shading 1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Shading 1 Accent 1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">
    <w:name w:val="Medium Shading 1 Accent 2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">
    <w:name w:val="Medium Shading 1 Accent 3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">
    <w:name w:val="Medium Shading 1 Accent 4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">
    <w:name w:val="Medium Shading 1 Accent 5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">
    <w:name w:val="Medium Shading 1 Accent 6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Shading 2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1">
    <w:name w:val="Medium Shading 2 Accent 1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4F81BD" w:themeFill="accen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2">
    <w:name w:val="Medium Shading 2 Accent 2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C0504D" w:themeFill="accent2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3">
    <w:name w:val="Medium Shading 2 Accent 3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9BBB59" w:themeFill="accent3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4">
    <w:name w:val="Medium Shading 2 Accent 4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8064A2" w:themeFill="accent4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5">
    <w:name w:val="Medium Shading 2 Accent 5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4BACC6" w:themeFill="accent5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6">
    <w:name w:val="Medium Shading 2 Accent 6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F79646" w:themeFill="accent6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14">
    <w:name w:val="Medium List 1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c">
    <w:name w:val="Medium List 2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000000" w:themeColor="text1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000000" w:themeColor="text1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000000" w:themeColor="text1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10">
    <w:name w:val="Medium List 2 Accent 1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F81BD" w:themeColor="accent1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4F81BD" w:themeColor="accent1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20">
    <w:name w:val="Medium List 2 Accent 2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C0504D" w:themeColor="accent2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C0504D" w:themeColor="accent2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30">
    <w:name w:val="Medium List 2 Accent 3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9BBB59" w:themeColor="accent3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9BBB59" w:themeColor="accent3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9BBB59" w:themeColor="accent3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40">
    <w:name w:val="Medium List 2 Accent 4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8064A2" w:themeColor="accent4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8064A2" w:themeColor="accent4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8064A2" w:themeColor="accent4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50">
    <w:name w:val="Medium List 2 Accent 5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BACC6" w:themeColor="accent5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4BACC6" w:themeColor="accent5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4BACC6" w:themeColor="accent5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60">
    <w:name w:val="Medium List 2 Accent 6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F79646" w:themeColor="accent6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F79646" w:themeColor="accent6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F79646" w:themeColor="accent6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15">
    <w:name w:val="Medium Grid 1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d">
    <w:name w:val="Medium Grid 2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9">
    <w:name w:val="Medium Grid 3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c">
    <w:name w:val="Dark List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</w:style>
  <w:style w:type="table" w:styleId="-14">
    <w:name w:val="Dark List Accent 1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</w:style>
  <w:style w:type="table" w:styleId="-24">
    <w:name w:val="Dark List Accent 2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</w:style>
  <w:style w:type="table" w:styleId="-34">
    <w:name w:val="Dark List Accent 3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</w:style>
  <w:style w:type="table" w:styleId="-44">
    <w:name w:val="Dark List Accent 4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</w:style>
  <w:style w:type="table" w:styleId="-54">
    <w:name w:val="Dark List Accent 5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</w:style>
  <w:style w:type="table" w:styleId="-64">
    <w:name w:val="Dark List Accent 6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</w:style>
  <w:style w:type="table" w:styleId="affd">
    <w:name w:val="Colorful Shading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5">
    <w:name w:val="Colorful Shading Accent 1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5">
    <w:name w:val="Colorful Shading Accent 2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5">
    <w:name w:val="Colorful Shading Accent 3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8064A2" w:themeColor="accent4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Shading Accent 4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9BBB59" w:themeColor="accent3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5">
    <w:name w:val="Colorful Shading Accent 5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F79646" w:themeColor="accent6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5">
    <w:name w:val="Colorful Shading Accent 6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BACC6" w:themeColor="accent5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e">
    <w:name w:val="Colorful List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6">
    <w:name w:val="Colorful List Accent 1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6">
    <w:name w:val="Colorful List Accent 2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6">
    <w:name w:val="Colorful List Accent 3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6">
    <w:name w:val="Colorful List Accent 4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6">
    <w:name w:val="Colorful List Accent 5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6">
    <w:name w:val="Colorful List Accent 6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f">
    <w:name w:val="Colorful Grid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7">
    <w:name w:val="Colorful Grid Accent 1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7">
    <w:name w:val="Colorful Grid Accent 2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7">
    <w:name w:val="Colorful Grid Accent 3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7">
    <w:name w:val="Colorful Grid Accent 4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7">
    <w:name w:val="Colorful Grid Accent 5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7">
    <w:name w:val="Colorful Grid Accent 6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f0">
    <w:name w:val="Hyperlink"/>
    <w:basedOn w:val="a2"/>
    <w:uiPriority w:val="99"/>
    <w:unhideWhenUsed/>
    <w:rPr>
      <w:color w:val="0000FF" w:themeColor="hyperlink"/>
      <w:u w:val="single"/>
    </w:rPr>
  </w:style>
  <w:style w:type="character" w:styleId="afff1">
    <w:name w:val="Unresolved Mention"/>
    <w:basedOn w:val="a2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pport@stan-torgi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tan-torgi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stantorgi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stan-torgi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Liberation Sans"/>
        <a:cs typeface="Liberation Sans"/>
      </a:majorFont>
      <a:minorFont>
        <a:latin typeface="Cambria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4792</Words>
  <Characters>27316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32044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26</cp:revision>
  <dcterms:created xsi:type="dcterms:W3CDTF">2013-12-23T23:15:00Z</dcterms:created>
  <dcterms:modified xsi:type="dcterms:W3CDTF">2026-09-17T06:26:00Z</dcterms:modified>
  <cp:category/>
</cp:coreProperties>
</file>