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22C7" w14:textId="77777777" w:rsidR="00AA44CC" w:rsidRDefault="00000000">
      <w:pPr>
        <w:spacing w:after="40"/>
        <w:jc w:val="right"/>
        <w:rPr>
          <w:lang w:val="ru-RU"/>
        </w:rPr>
      </w:pPr>
      <w:r>
        <w:rPr>
          <w:lang w:val="ru-RU"/>
        </w:rPr>
        <w:t>Приложение № 4 к Пользовательскому соглашению</w:t>
      </w:r>
    </w:p>
    <w:p w14:paraId="772D0980" w14:textId="77777777" w:rsidR="00AA44CC" w:rsidRDefault="00AA44CC">
      <w:pPr>
        <w:spacing w:after="160"/>
        <w:jc w:val="center"/>
        <w:rPr>
          <w:b/>
          <w:sz w:val="26"/>
          <w:lang w:val="ru-RU"/>
        </w:rPr>
      </w:pPr>
    </w:p>
    <w:p w14:paraId="15D27DB5" w14:textId="77777777" w:rsidR="00AA44CC" w:rsidRDefault="00000000">
      <w:pPr>
        <w:spacing w:after="160"/>
        <w:jc w:val="center"/>
        <w:rPr>
          <w:b/>
          <w:sz w:val="26"/>
          <w:lang w:val="ru-RU"/>
        </w:rPr>
      </w:pPr>
      <w:r>
        <w:rPr>
          <w:b/>
          <w:sz w:val="26"/>
          <w:lang w:val="ru-RU"/>
        </w:rPr>
        <w:t>ПРАВИЛА ОТКРЫТИЯ И ВЕДЕНИЯ ЛИЦЕВЫХ СЧЕТОВ ПОЛЬЗОВАТЕЛЕЙ</w:t>
      </w:r>
    </w:p>
    <w:p w14:paraId="472D50E9" w14:textId="77777777" w:rsidR="00AA44CC" w:rsidRDefault="00000000">
      <w:pPr>
        <w:spacing w:after="160"/>
        <w:jc w:val="center"/>
        <w:rPr>
          <w:lang w:val="ru-RU"/>
        </w:rPr>
      </w:pPr>
      <w:r>
        <w:rPr>
          <w:b/>
          <w:sz w:val="26"/>
          <w:lang w:val="ru-RU"/>
        </w:rPr>
        <w:t>НА ЭТП «СТАН-Торги»</w:t>
      </w:r>
    </w:p>
    <w:p w14:paraId="3085D16A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1. Общие положения</w:t>
      </w:r>
    </w:p>
    <w:p w14:paraId="18BF9006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1.1. Настоящие Правила устанавливают порядок открытия и ведения лицевых счетов, открываемых организациям Пользователей (далее — «лицевой счёт»), зачисления, блокирования, разблокирования и удержания денежных средств, списания платы Оператора, вывода и возврата денежных средств на ЭТП «СТАН-Торги».</w:t>
      </w:r>
    </w:p>
    <w:p w14:paraId="0804F8B8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1.2. Термины, используемые в настоящих Правилах, применяются в значениях, установленных Глоссарием (Приложение № 1 к Соглашению).</w:t>
      </w:r>
    </w:p>
    <w:p w14:paraId="41C669B5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1.3. Все операции по лицевым счетам Пользователей ведутся в рублях Российской Федерации.</w:t>
      </w:r>
    </w:p>
    <w:p w14:paraId="73D22DCD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1.4. Лицевой счёт является счётом, организованным во внутреннем (аналитическом) учёте Оператора и привязанным к расчётному счёту Оператора, открытому в кредитной организации. Операции, осуществляемые Пользователем по лицевому счёту, фактически осуществляются по расчётному счёту Оператора и должны проводиться с соблюдением требований Федерального закона от 07.08.2001 № 115-ФЗ «О противодействии легализации (отмыванию) доходов, полученных преступным путём, и финансированию терроризма» (далее — Закон № 115-ФЗ). Оператор не является кредитной организацией и не вправе оказывать банковские услуги.</w:t>
      </w:r>
    </w:p>
    <w:p w14:paraId="613404A3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1.5. Лицевой счёт используется в целях, предусмотренных настоящими Правилами и Соглашением: для обеспечения заявок на участие в Процедурах денежными средствами, для уплаты платы Оператора, списываемой с лицевого счёта в соответствии с разделом 6 настоящих Правил и Тарифами (Приложение № 8), а также для зачисления удержанного обеспечения заявок в пользу Организатора процедур (Заказчика) в случаях, предусмотренных разделом 5 настоящих Правил. Абонентская плата за доступ к секциям «Коммерческие закупки» и «Продажа», плата за ускоренную аккредитацию и за дополнительные услуги Оператора с лицевого счёта не списываются и оплачиваются по отдельному счёту на оплату (пункт 6.1 настоящих Правил). Не допускается использование лицевого счёта для расчётов между Пользователями и третьими лицами, для хранения денежных средств (зачисление с последующим выводом без совершения операций по целевому использованию счёта), а также для совершения операций, противоречащих требованиям Федерального закона от 07.08.2001 № 115-ФЗ (пункты 1.4–1.6 Правил открытия и ведения лицевых счетов).</w:t>
      </w:r>
    </w:p>
    <w:p w14:paraId="23A2C219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1.6. Оператор вправе запрашивать у Пользователя документы и сведения о поступивших платежах, их плательщике и назначении, необходимые Оператору для исполнения требований Закона № 115-ФЗ и настоящих Правил.</w:t>
      </w:r>
    </w:p>
    <w:p w14:paraId="35FD0D9A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1.7. Сроки, указанные в настоящих Правилах, исчисляются по московскому времени (МСК).</w:t>
      </w:r>
    </w:p>
    <w:p w14:paraId="47FFA297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2. Открытие лицевого счёта</w:t>
      </w:r>
    </w:p>
    <w:p w14:paraId="350D45EF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2.1. Лицевой счёт открывается Оператором автоматически организации (юридическому лицу или физическому лицу, в том числе индивидуальному предпринимателю) при её добавлении Пользователем в Личном кабинете; лицевому счёту присваивается номер вида ЛС-XXXXXXXX. </w:t>
      </w:r>
      <w:r>
        <w:rPr>
          <w:lang w:val="ru-RU"/>
        </w:rPr>
        <w:lastRenderedPageBreak/>
        <w:t>Активация лицевого счёта не требуется. Операции по лицевому счёту совершаются от имени организации Пользователями, связанными с этой организацией в Системе.</w:t>
      </w:r>
    </w:p>
    <w:p w14:paraId="5940BBD0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2.2. Лицевой счёт организации является единым. В рамках лицевого счёта учитываются: Субсчёт свободных средств (в Личном кабинете — «Доступно») и Субсчёт блокированных средств (в Личном кабинете — «Заблокировано под обеспечение»); общая сумма денежных средств на лицевом счёте отображается как «Всего на счёте». На Субсчёте блокированных средств учитываются суммы обеспечения заявок, а также суммы заявок на вывод денежных средств до их перечисления (пункт 6.5 настоящих Правил).</w:t>
      </w:r>
    </w:p>
    <w:p w14:paraId="2371FA2C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2.3. В разделе «Лицевой счёт» Личного кабинета Пользователь может ознакомиться с номером лицевого счёта, суммами денежных средств на лицевом счёте и субсчетах, сформированными платёжными поручениями, заявками на вывод денежных средств и историей операций, а также указать банковские реквизиты организации.</w:t>
      </w:r>
    </w:p>
    <w:p w14:paraId="66973B21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2.4. Лицевой счёт ведётся в аналитическом учёте Оператора в течение всего срока нахождения организации в Системе, а после прекращения Соглашения — до момента полного возврата остатка денежных средств в порядке, предусмотренном настоящими Правилами.</w:t>
      </w:r>
    </w:p>
    <w:p w14:paraId="52C45653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3. Зачисление денежных средств</w:t>
      </w:r>
    </w:p>
    <w:p w14:paraId="51309939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3.1. Для пополнения лицевого счёта Пользователь в разделе «Лицевой счёт» Личного кабинета формирует платёжное поручение, указывая сумму и назначение платежа: «Обеспечение заявки» или «Оплата услуг оператора ЭТП». Сформированному платёжному поручению присваивается номер.</w:t>
      </w:r>
    </w:p>
    <w:p w14:paraId="50730F33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3.2. Пользователь оплачивает платёжное поручение с банковского счёта организации, которой открыт лицевой счёт, по реквизитам Оператора, указанным в платёжном поручении, с указанием в назначении платежа номера платёжного поручения и (или) номера лицевого счёта.</w:t>
      </w:r>
    </w:p>
    <w:p w14:paraId="691AFC27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3.3. Оператор сверяет поступление денежных средств на расчётный счёт Оператора со сформированным платёжным поручением и зачисляет денежные средства на лицевой счёт в рабочее время Оператора. Если сведения о платеже не позволяют определить лицевой счёт, для зачисления на который он предназначен, Оператор вправе запросить у Пользователя платёжный документ (пункт 1.6 настоящих Правил).</w:t>
      </w:r>
    </w:p>
    <w:p w14:paraId="4B486232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3.4. Денежные средства, зачисленные на лицевой счёт, учитываются на Субсчёте свободных средств. Зачисление отражается в истории операций по лицевому счёту.</w:t>
      </w:r>
    </w:p>
    <w:p w14:paraId="32EC05EF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3.5. На Субсчёт свободных средств лицевого счёта Организатора процедур (Заказчика) также зачисляются суммы обеспечения заявок, удержанные в его пользу в порядке, предусмотренном пунктами 5.6 и 5.7 настоящих Правил.</w:t>
      </w:r>
    </w:p>
    <w:p w14:paraId="23AC7FA3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4. Обеспечение заявок на участие в Процедурах</w:t>
      </w:r>
    </w:p>
    <w:p w14:paraId="2BA95394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4.1. Обеспечение заявки денежными средствами представляет собой блокирование денежных средств на лицевом счёте организации Участника процедуры в качестве обеспечительного платежа (статья 381.1 Гражданского кодекса Российской Федерации) для обеспечения обязательства Участника процедуры заключить договор на условиях поданной им заявки и иных обязательств, предусмотренных пунктом 5.6 настоящих Правил.</w:t>
      </w:r>
    </w:p>
    <w:p w14:paraId="19F8138F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4.2. Требование об обеспечении заявки, его размер и способ устанавливаются Организатором процедур в извещении о проведении Процедуры. </w:t>
      </w:r>
      <w:r>
        <w:rPr>
          <w:color w:val="008000"/>
          <w:lang w:val="ru-RU"/>
        </w:rPr>
        <w:t>Способом обеспечения заявки могут быть установлены денежные средства, независимая/банковская гарантия</w:t>
      </w:r>
      <w:r>
        <w:rPr>
          <w:lang w:val="ru-RU"/>
        </w:rPr>
        <w:t xml:space="preserve"> либо любой из указанных способов на выбор Участника процедуры.</w:t>
      </w:r>
      <w:r>
        <w:rPr>
          <w:color w:val="FF0000"/>
          <w:lang w:val="ru-RU"/>
        </w:rPr>
        <w:t xml:space="preserve"> В Процедурах в секции «Закупки по 223-ФЗ» </w:t>
      </w:r>
      <w:r>
        <w:rPr>
          <w:color w:val="FF0000"/>
          <w:lang w:val="ru-RU"/>
        </w:rPr>
        <w:lastRenderedPageBreak/>
        <w:t>способы обеспечения заявки и его размер определяются Организатором процедур с учётом части 25 и части 27 статьи 3.2 Федерального закона № 223-ФЗ.</w:t>
      </w:r>
    </w:p>
    <w:p w14:paraId="5D1310AA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4.3. Если извещением установлено обеспечение заявки денежными средствами либо Участник процедуры выбрал этот способ, в момент подачи заявки Система автоматически блокирует денежные средства в размере обеспечения заявки: денежные средства переводятся с Субсчёта свободных средств на Субсчёт блокированных средств, что отражается в Личном кабинете. Заблокированные денежные средства перестают быть свободными и до их разблокирования в соответствии с разделом 5 настоящих Правил не могут быть использованы для вывода, подачи заявок на участие в других Процедурах или уплаты платы Оператора. Самостоятельный перевод Пользователем денежных средств на Субсчёт блокированных средств не предусмотрен.</w:t>
      </w:r>
    </w:p>
    <w:p w14:paraId="3F73410B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4.4. Заявка может быть подана при наличии на Субсчёте свободных средств суммы, достаточной для блокирования обеспечения заявки, а если для Процедуры установлена плата за участие — также для её уплаты (пункт 6.3 настоящих Правил). При замене заявки учитываются денежные средства, заблокированные в качестве обеспечения заменяемой заявки. При недостатке денежных средств заявка не подаётся.</w:t>
      </w:r>
    </w:p>
    <w:p w14:paraId="4393236E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4.5. Если извещением допускается </w:t>
      </w:r>
      <w:r>
        <w:rPr>
          <w:color w:val="008000"/>
          <w:lang w:val="ru-RU"/>
        </w:rPr>
        <w:t>обеспечение заявки независимой/банковской гарантией</w:t>
      </w:r>
      <w:r>
        <w:rPr>
          <w:lang w:val="ru-RU"/>
        </w:rPr>
        <w:t xml:space="preserve"> и Участник процедуры выбрал этот способ, Участник процедуры прикладывает к заявке </w:t>
      </w:r>
      <w:r>
        <w:rPr>
          <w:color w:val="008000"/>
          <w:lang w:val="ru-RU"/>
        </w:rPr>
        <w:t>файл независимой/банковской гарантии</w:t>
      </w:r>
      <w:r>
        <w:rPr>
          <w:lang w:val="ru-RU"/>
        </w:rPr>
        <w:t xml:space="preserve">; денежные средства на лицевом счёте в этом случае не блокируются. Организатор процедур </w:t>
      </w:r>
      <w:r>
        <w:rPr>
          <w:color w:val="008000"/>
          <w:lang w:val="ru-RU"/>
        </w:rPr>
        <w:t>принимает или отклоняет независимую/банковскую гарантию</w:t>
      </w:r>
      <w:r>
        <w:rPr>
          <w:lang w:val="ru-RU"/>
        </w:rPr>
        <w:t xml:space="preserve"> при рассмотрении заявок. </w:t>
      </w:r>
      <w:r>
        <w:rPr>
          <w:color w:val="008000"/>
          <w:lang w:val="ru-RU"/>
        </w:rPr>
        <w:t>Отклонение независимой/банковской гарантии</w:t>
      </w:r>
      <w:r>
        <w:rPr>
          <w:lang w:val="ru-RU"/>
        </w:rPr>
        <w:t xml:space="preserve"> является основанием для отклонения заявки.</w:t>
      </w:r>
    </w:p>
    <w:p w14:paraId="7EC30408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4.6. Срок блокирования денежных средств в качестве обеспечения заявки указывается Организатором процедур в извещении о проведении Процедуры. Организатор процедур вправе до истечения указанного срока продлить срок блокирования денежных средств Участников процедуры, совершив соответствующее действие в Системе; новый срок блокирования отображается в карточке Процедуры.</w:t>
      </w:r>
    </w:p>
    <w:p w14:paraId="1A7E9547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5. Разблокирование и удержание денежных средств</w:t>
      </w:r>
    </w:p>
    <w:p w14:paraId="05318DB4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5.1. После размещения протокола, содержащего итоги Процедуры, блокирование денежных средств прекращается в отношении всех Участников процедуры, за исключением победителя Процедуры, а если извещением о проведении Процедуры предусмотрено сохранение блокирования до заключения договора в отношении Участника процедуры, заявке которого присвоено второе место, — также за исключением такого Участника процедуры. Денежные средства указанных лиц остаются заблокированными до заключения договора по итогам Процедуры; при уклонении победителя Процедуры от заключения договора денежные средства Участника процедуры, заявке которого присвоено второе место, остаются заблокированными.</w:t>
      </w:r>
    </w:p>
    <w:p w14:paraId="5915DBC0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5.2. Денежные средства, заблокированные в качестве обеспечения заявки победителя Процедуры, не засчитываются в обеспечение исполнения договора и не перечисляются Организатору процедур (Заказчику): они разблокируются при заключении договора. Если извещением установлено требование об обеспечении исполнения договора, такое обеспечение предоставляется победителем Процедуры отдельно при подписании договора — </w:t>
      </w:r>
      <w:r>
        <w:rPr>
          <w:color w:val="008000"/>
          <w:lang w:val="ru-RU"/>
        </w:rPr>
        <w:t>независимой/банковской гарантией или платёжным документом</w:t>
      </w:r>
      <w:r>
        <w:rPr>
          <w:lang w:val="ru-RU"/>
        </w:rPr>
        <w:t>, прикладываемыми файлом; Организатор процедур (Заказчик) принимает или отклоняет представленное обеспечение.</w:t>
      </w:r>
    </w:p>
    <w:p w14:paraId="369C38C8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5.3. Основаниями для разблокирования денежных средств на Субсчёте блокированных средств являются:</w:t>
      </w:r>
    </w:p>
    <w:p w14:paraId="223B16F1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отказ Организатора процедур от проведения Процедуры (отмена Процедуры);</w:t>
      </w:r>
    </w:p>
    <w:p w14:paraId="4FEBDD90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lastRenderedPageBreak/>
        <w:t>б) отзыв Участником процедуры заявки на участие в Процедуре либо её замена в сроки, в которые отзыв или замена заявки допускаются извещением (при замене заявки разблокируются денежные средства, заблокированные в качестве обеспечения заменяемой заявки);</w:t>
      </w:r>
    </w:p>
    <w:p w14:paraId="269FB821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в) размещение Организатором процедур протокола, в том числе промежуточного, содержащего решение об отказе Участнику процедуры в допуске к участию в Процедуре (об отклонении его заявки), — в отношении такого Участника процедуры;</w:t>
      </w:r>
    </w:p>
    <w:p w14:paraId="58678328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г) признание Процедуры несостоявшейся;</w:t>
      </w:r>
    </w:p>
    <w:p w14:paraId="161F8614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д) размещение Организатором процедур протокола, содержащего итоги Процедуры, — в отношении Участников процедуры, не признанных победителем Процедуры и не являющихся Участником процедуры, блокирование денежных средств которого в соответствии с извещением сохраняется до заключения договора (пункт 5.1 настоящих Правил);</w:t>
      </w:r>
    </w:p>
    <w:p w14:paraId="526759FF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е) заключение договора по итогам Процедуры — в отношении Участника процедуры, с которым заключён договор, и одновременно в отношении Участника процедуры, блокирование денежных средств которого сохранялось до заключения договора;</w:t>
      </w:r>
    </w:p>
    <w:p w14:paraId="61F47655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ж) истечение указанного в извещении срока блокирования (с учётом его продления), если итоги Процедуры не подведены, — в отношении всех Участников процедуры (пункт 5.5 настоящих Правил);</w:t>
      </w:r>
    </w:p>
    <w:p w14:paraId="7A6C8DE4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з) вступившее в законную силу решение суда либо соглашение сторон, которыми удержание обеспечения заявки признано необоснованным (подпункт «б» пункта 5.7 настоящих Правил).</w:t>
      </w:r>
    </w:p>
    <w:p w14:paraId="318C5D10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5.4. Разблокирование денежных средств по основаниям, предусмотренным подпунктами «а»–«ж» пункта 5.3 настоящих Правил, осуществляется Системой автоматически в момент наступления соответствующего события, без подачи Участником процедуры заявки (обращения) и без участия Оператора; разблокированные денежные средства переводятся на Субсчёт свободных средств и отражаются в истории операций. Разблокирование не производится в отношении денежных средств, по которым Организатором процедур (Заказчиком) зафиксировано основание для удержания, до завершения порядка, предусмотренного пунктами 5.6 и 5.7 настоящих Правил.</w:t>
      </w:r>
    </w:p>
    <w:p w14:paraId="70DB04C1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5.5. Если итоги Процедуры не подведены до истечения срока блокирования, указанного в извещении о проведении Процедуры (с учётом его продления Организатором процедур в соответствии с пунктом 4.6 настоящих Правил), денежные средства разблокируются автоматически у всех Участников процедуры с переводом на Субсчёт свободных средств.</w:t>
      </w:r>
    </w:p>
    <w:p w14:paraId="1D524711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5.6. Основаниями для удержания обеспечения заявки являются: уклонение победителя Процедуры (либо Участника процедуры, которому направлен договор после уклонения победителя Процедуры) от заключения договора; представление Участником процедуры ложных сведений, в том числе недостоверных сведений в составе заявки; отказ победителя Процедуры предоставить обеспечение исполнения договора при наличии такого требования в извещении.</w:t>
      </w:r>
      <w:r>
        <w:rPr>
          <w:color w:val="FF0000"/>
          <w:lang w:val="ru-RU"/>
        </w:rPr>
        <w:t xml:space="preserve"> В Процедурах в секции «Закупки по 223-ФЗ» возврат (удержание) обеспечения заявки осуществляется строго в случаях, установленных частью 26 статьи 3.2 Федерального закона № 223-ФЗ: уклонение участника закупки или отказ от заключения договора; непредоставление обеспечения исполнения договора до заключения договора (в том числе нарушение условий его предоставления). </w:t>
      </w:r>
      <w:r>
        <w:rPr>
          <w:lang w:val="ru-RU"/>
        </w:rPr>
        <w:t xml:space="preserve">Организатор процедур (Заказчик) фиксирует основание для удержания в Системе. С момента фиксации денежные средства Участника процедуры остаются заблокированными в течение 5 (пяти) календарных дней, в течение которых Участник процедуры вправе оспорить удержание, воспользовавшись соответствующей функцией Личного кабинета. Если в указанный срок удержание не оспорено, Система списывает денежные средства с Субсчёта блокированных средств Участника процедуры и зачисляет их на Субсчёт свободных средств лицевого счёта Организатора процедур (Заказчика); вывод указанных денежных средств осуществляется Организатором процедур (Заказчиком) в порядке, предусмотренном разделом 6 настоящих Правил. Оператор совершает операции по поручению Заказчика на основании </w:t>
      </w:r>
      <w:r>
        <w:rPr>
          <w:lang w:val="ru-RU"/>
        </w:rPr>
        <w:lastRenderedPageBreak/>
        <w:t>Соглашения и документации Процедуры; удержание применяется в размере и порядке, установленных Положением о закупке и извещением, и является способом обеспечения исполнения обязательств Участника процедуры.</w:t>
      </w:r>
    </w:p>
    <w:p w14:paraId="787D20D4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5.7. Если Участник процедуры оспорил удержание в срок, установленный пунктом 5.6 настоящих Правил, денежные средства остаются заблокированными до урегулирования спора. Для урегулирования спора Участник процедуры или Организатор процедур (Заказчик) представляет Оператору вступившее в законную силу решение суда по указанному спору либо соглашение сторон. На основании указанного решения (соглашения) Оператор совершает одно из следующих действий:</w:t>
      </w:r>
    </w:p>
    <w:p w14:paraId="7361540E" w14:textId="77777777" w:rsidR="00AA44CC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а) списание денежных средств с Субсчёта блокированных средств Участника процедуры и их зачисление на Субсчёт свободных средств лицевого счёта Организатора процедур (Заказчика);</w:t>
      </w:r>
    </w:p>
    <w:p w14:paraId="77E2A4C7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б) разблокирование денежных средств Участника процедуры с переводом на его Субсчёт свободных средств.</w:t>
      </w:r>
    </w:p>
    <w:p w14:paraId="4CD864B2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Оператор совершает операции по поручению Заказчика на основании Соглашения и документации Процедуры; удержание применяется в размере и порядке, установленных Положением о закупке и извещением, и является способом обеспечения исполнения обязательств Участника процедуры.</w:t>
      </w:r>
    </w:p>
    <w:p w14:paraId="249BEAFD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5.8. Организатор процедур (Заказчик) утрачивает право на удержание сумм обеспечения, внесённых Участниками процедуры, если не подводит итоги Процедуры в течение указанного в извещении срока блокирования (с учётом его продления); в этом случае денежные средства разблокируются в порядке, предусмотренном пунктом 5.5 настоящих Правил.</w:t>
      </w:r>
    </w:p>
    <w:p w14:paraId="0C92BC16" w14:textId="4F7661AB" w:rsidR="00AA44CC" w:rsidRPr="007E3649" w:rsidRDefault="00000000">
      <w:pPr>
        <w:spacing w:before="160" w:after="120"/>
        <w:ind w:firstLine="567"/>
        <w:jc w:val="both"/>
        <w:rPr>
          <w:lang w:val="ru-RU"/>
        </w:rPr>
      </w:pPr>
      <w:r w:rsidRPr="007E3649">
        <w:rPr>
          <w:b/>
          <w:sz w:val="24"/>
          <w:lang w:val="ru-RU"/>
        </w:rPr>
        <w:t>6. Списание платы</w:t>
      </w:r>
      <w:r w:rsidR="00764B22" w:rsidRPr="007E3649">
        <w:rPr>
          <w:b/>
          <w:sz w:val="24"/>
          <w:lang w:val="ru-RU"/>
        </w:rPr>
        <w:t xml:space="preserve"> за услуги</w:t>
      </w:r>
      <w:r w:rsidRPr="007E3649">
        <w:rPr>
          <w:b/>
          <w:sz w:val="24"/>
          <w:lang w:val="ru-RU"/>
        </w:rPr>
        <w:t xml:space="preserve"> Оператора, вывод и возврат денежных средств</w:t>
      </w:r>
    </w:p>
    <w:p w14:paraId="7446591A" w14:textId="21483EDF" w:rsidR="00AA44CC" w:rsidRPr="007E3649" w:rsidRDefault="00000000">
      <w:pPr>
        <w:spacing w:after="120"/>
        <w:ind w:firstLine="567"/>
        <w:jc w:val="both"/>
        <w:rPr>
          <w:lang w:val="ru-RU"/>
        </w:rPr>
      </w:pPr>
      <w:r w:rsidRPr="007E3649">
        <w:rPr>
          <w:lang w:val="ru-RU"/>
        </w:rPr>
        <w:t xml:space="preserve">6.1. С лицевого счёта организации списывается плата </w:t>
      </w:r>
      <w:r w:rsidR="00764B22" w:rsidRPr="007E3649">
        <w:rPr>
          <w:lang w:val="ru-RU"/>
        </w:rPr>
        <w:t xml:space="preserve">за услуги </w:t>
      </w:r>
      <w:r w:rsidRPr="007E3649">
        <w:rPr>
          <w:lang w:val="ru-RU"/>
        </w:rPr>
        <w:t xml:space="preserve">Оператора </w:t>
      </w:r>
      <w:proofErr w:type="gramStart"/>
      <w:r w:rsidR="00764B22" w:rsidRPr="007E3649">
        <w:rPr>
          <w:lang w:val="ru-RU"/>
        </w:rPr>
        <w:t>в размере</w:t>
      </w:r>
      <w:proofErr w:type="gramEnd"/>
      <w:r w:rsidR="00764B22" w:rsidRPr="007E3649">
        <w:rPr>
          <w:lang w:val="ru-RU"/>
        </w:rPr>
        <w:t xml:space="preserve"> установленном </w:t>
      </w:r>
      <w:r w:rsidRPr="007E3649">
        <w:rPr>
          <w:lang w:val="ru-RU"/>
        </w:rPr>
        <w:t>Тарифами (Приложение № 8): тариф за победу либо, если индивидуальным тарифом Заказчика установлено такое основание, плата за участие. Плата Оператора списывается с Субсчёта свободных средств. Абонентская плата за доступ к секциям «Коммерческие закупки» и «Продажа», плата за ускоренную аккредитацию и за дополнительные услуги Оператора с лицевого счёта не списываются: они оплачиваются по отдельному счёту на оплату (в том числе сформированному в разделе «Подписка» Личного кабинета).</w:t>
      </w:r>
    </w:p>
    <w:p w14:paraId="49D534BA" w14:textId="197196E2" w:rsidR="00AA44CC" w:rsidRDefault="00000000">
      <w:pPr>
        <w:spacing w:after="120"/>
        <w:ind w:firstLine="567"/>
        <w:jc w:val="both"/>
        <w:rPr>
          <w:lang w:val="ru-RU"/>
        </w:rPr>
      </w:pPr>
      <w:r w:rsidRPr="007E3649">
        <w:rPr>
          <w:lang w:val="ru-RU"/>
        </w:rPr>
        <w:t xml:space="preserve">6.2. Тариф за победу списывается с лицевого счёта победителя Процедуры (Участника процедуры, с которым заключается договор) в момент </w:t>
      </w:r>
      <w:r w:rsidR="007E3649" w:rsidRPr="007E3649">
        <w:rPr>
          <w:lang w:val="ru-RU"/>
        </w:rPr>
        <w:t>подведения итогов Процедуры (размещения протокола)</w:t>
      </w:r>
      <w:r w:rsidRPr="007E3649">
        <w:rPr>
          <w:lang w:val="ru-RU"/>
        </w:rPr>
        <w:t>. При аннулировании проекта договора и повторном его подписании тариф за победу повторно не списывается.</w:t>
      </w:r>
    </w:p>
    <w:p w14:paraId="1354AE32" w14:textId="0DE9F48A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6.3. Если индивидуальным тарифом Заказчика установлена плата за участие, она списывается с лицевого счёта Участника процедуры в момент подачи заявки на участие в Процедуре, возвращается при отзыве/отклонении заявки.</w:t>
      </w:r>
    </w:p>
    <w:p w14:paraId="32AB79D9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6.4. Вывод денежных средств с Субсчёта свободных средств осуществляется Оператором на основании заявки на вывод денежных средств, которую Пользователь формирует в разделе «Лицевой счёт» Личного кабинета, указывая сумму и, при необходимости, комментарий.</w:t>
      </w:r>
      <w:r>
        <w:rPr>
          <w:lang w:val="ru-RU"/>
          <w:highlight w:val="green"/>
        </w:rPr>
        <w:t xml:space="preserve"> Заявка на вывод денежных средств подписывается КЭП.</w:t>
      </w:r>
      <w:r>
        <w:rPr>
          <w:lang w:val="ru-RU"/>
        </w:rPr>
        <w:t xml:space="preserve"> Сумма вывода не может превышать сумму денежных средств на Субсчёте свободных средств. Не допускается использование лицевого счёта для расчётов между Пользователями и третьими лицами, для хранения денежных средств (зачисление с последующим выводом без совершения операций по целевому использованию счёта), а также для совершения операций, противоречащих требованиям Федерального закона от 07.08.2001 № 115-ФЗ (пункты 1.4–1.6 Правил открытия и ведения лицевых счетов).</w:t>
      </w:r>
    </w:p>
    <w:p w14:paraId="776E50D2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>6.5. Денежные средства перечисляются исключительно на банковский счёт организации, которой открыт лицевой счёт, по банковским реквизитам, указанным в разделе «Лицевой счёт»; при отсутствии указанных реквизитов заявка на вывод не может быть сформирована. С момента формирования заявки на вывод её сумма блокируется на лицевом счёте до перечисления; при отклонении заявки Оператором сумма разблокируется.</w:t>
      </w:r>
    </w:p>
    <w:p w14:paraId="5E1F8412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6.6. Оператор перечисляет денежные средства по заявке на вывод в течение 5 (пяти) рабочих дней с даты её формирования. Датой перечисления денежных средств считается дата списания денежных средств с расчётного счёта Оператора.</w:t>
      </w:r>
    </w:p>
    <w:p w14:paraId="7A1A8313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6.7. При прекращении Соглашения Оператор по заявлению Пользователя закрывает лицевой счёт организации и </w:t>
      </w:r>
      <w:r>
        <w:rPr>
          <w:color w:val="FF0000"/>
          <w:lang w:val="ru-RU"/>
        </w:rPr>
        <w:t>в течение 5 (пяти) рабочих дней с даты получения заявления Пользователя о возврате денежных средств</w:t>
      </w:r>
      <w:r>
        <w:rPr>
          <w:lang w:val="ru-RU"/>
        </w:rPr>
        <w:t xml:space="preserve"> возвращает остаток денежных средств на лицевом счёте (за вычетом задолженности перед Оператором) на банковский счёт организации, указанный в заявлении о возврате денежных средств (пункт 10.6 Соглашения). Денежные средства, заблокированные на дату прекращения Соглашения, возвращаются в указанном порядке после их разблокирования в соответствии с разделом 5 настоящих Правил.</w:t>
      </w:r>
    </w:p>
    <w:p w14:paraId="66235641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6.8. Операции с денежными средствами, находящимися на лицевом счёте, осуществляются в сроки, установленные Соглашением и настоящими Правилами.</w:t>
      </w:r>
    </w:p>
    <w:p w14:paraId="74B0DA3F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7. Конфиденциальность информации о денежных средствах</w:t>
      </w:r>
    </w:p>
    <w:p w14:paraId="3FB18C89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7.1. В процессе открытия и ведения счетов Пользователей в аналитическом учёте Системы и связанного с этим документооборота Оператор обеспечивает недоступность для третьих лиц информации о размере сумм денежных средств, находящихся на лицевых счетах Пользователей, за исключением случаев, предусмотренных действующим законодательством Российской Федерации.</w:t>
      </w:r>
    </w:p>
    <w:p w14:paraId="1969421B" w14:textId="77777777" w:rsidR="00AA44CC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8. Заключительные положения</w:t>
      </w:r>
    </w:p>
    <w:p w14:paraId="7619D395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8.1. Настоящие Правила применяются с учётом требований Федерального закона от 18.07.2011 № 223-ФЗ «О закупках товаров, работ, услуг отдельными видами юридических лиц» в части проведения Процедур в секции Системы «Закупки по 223-ФЗ», а также антимонопольных требований, установленных статьёй 17 Федерального закона от 26.07.2006 № 135-ФЗ «О защите конкуренции» (далее — Федеральный закон № 135-ФЗ).</w:t>
      </w:r>
    </w:p>
    <w:p w14:paraId="57D6E9CC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8.2. Условия открытия и ведения лицевых счетов, блокирования денежных средств и их разблокирования применяются в равной степени ко всем Пользователям и не должны приводить к созданию преимущественных условий участия отдельных Пользователей в Процедурах либо к необоснованному ограничению конкуренции (часть 1 статьи 17 Федерального закона № 135-ФЗ).</w:t>
      </w:r>
    </w:p>
    <w:p w14:paraId="6AD41BE3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8.3. В случае противоречия положений настоящих Правил законодательству Российской Федерации, Соглашению и приложениям к нему применяются законодательство Российской Федерации, Соглашение и приложения к нему.</w:t>
      </w:r>
    </w:p>
    <w:p w14:paraId="663EB911" w14:textId="77777777" w:rsidR="00AA44CC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8.4. Изменения в настоящие Правила вносятся в порядке, установленном пунктом 10.2 Соглашения, публикуются на официальном сайте и (или) в Личном кабинете Пользователя и вступают в силу не ранее чем через 10 (десять) календарных дней с даты опубликования.</w:t>
      </w:r>
    </w:p>
    <w:sectPr w:rsidR="00AA44CC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B694C" w14:textId="77777777" w:rsidR="006667AD" w:rsidRDefault="006667AD">
      <w:pPr>
        <w:spacing w:after="0" w:line="240" w:lineRule="auto"/>
      </w:pPr>
      <w:r>
        <w:separator/>
      </w:r>
    </w:p>
  </w:endnote>
  <w:endnote w:type="continuationSeparator" w:id="0">
    <w:p w14:paraId="73BC2D31" w14:textId="77777777" w:rsidR="006667AD" w:rsidRDefault="0066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3C4E" w14:textId="77777777" w:rsidR="00AA44CC" w:rsidRDefault="00000000">
    <w:pPr>
      <w:pStyle w:val="af1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603D1" w14:textId="77777777" w:rsidR="006667AD" w:rsidRDefault="006667AD">
      <w:pPr>
        <w:spacing w:after="0" w:line="240" w:lineRule="auto"/>
      </w:pPr>
      <w:r>
        <w:separator/>
      </w:r>
    </w:p>
  </w:footnote>
  <w:footnote w:type="continuationSeparator" w:id="0">
    <w:p w14:paraId="42519264" w14:textId="77777777" w:rsidR="006667AD" w:rsidRDefault="00666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146B"/>
    <w:multiLevelType w:val="hybridMultilevel"/>
    <w:tmpl w:val="F59CF904"/>
    <w:lvl w:ilvl="0" w:tplc="A1AE0D9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0E32D6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A6A8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2A66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E621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C8C5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964B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AED8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AA0D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FC22EAD"/>
    <w:multiLevelType w:val="hybridMultilevel"/>
    <w:tmpl w:val="B4465D84"/>
    <w:lvl w:ilvl="0" w:tplc="1904F2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7BE68F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722C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4CCF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4899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CC25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9C74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563C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6CAB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B053D89"/>
    <w:multiLevelType w:val="hybridMultilevel"/>
    <w:tmpl w:val="FF84F87A"/>
    <w:lvl w:ilvl="0" w:tplc="17E060E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A85D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7E3F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DA11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7E86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D24A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CCF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62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B0E8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7450DF0"/>
    <w:multiLevelType w:val="hybridMultilevel"/>
    <w:tmpl w:val="BDB68860"/>
    <w:lvl w:ilvl="0" w:tplc="489CFBAA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6C2A02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FF4D4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6A7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089B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58E3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E6BF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861F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5457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9913011"/>
    <w:multiLevelType w:val="hybridMultilevel"/>
    <w:tmpl w:val="80583AF2"/>
    <w:lvl w:ilvl="0" w:tplc="DE24AEAA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F241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FA97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82F3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908A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E4A9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FCB7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581E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98878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0D14C70"/>
    <w:multiLevelType w:val="hybridMultilevel"/>
    <w:tmpl w:val="3B883DCA"/>
    <w:lvl w:ilvl="0" w:tplc="C2A6E9E2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62D7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DEE4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4603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FC0E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4A97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4CA5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CC0B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CE33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1A03051"/>
    <w:multiLevelType w:val="hybridMultilevel"/>
    <w:tmpl w:val="B8B6B194"/>
    <w:lvl w:ilvl="0" w:tplc="F9909C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8869E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F66D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9EB3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BA75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F0B2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2611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FA87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5072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CDA6C47"/>
    <w:multiLevelType w:val="hybridMultilevel"/>
    <w:tmpl w:val="7CD22898"/>
    <w:lvl w:ilvl="0" w:tplc="A934AC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FADC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48FE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4092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18B8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067E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82EE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9C12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54EC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158476F"/>
    <w:multiLevelType w:val="hybridMultilevel"/>
    <w:tmpl w:val="661820B6"/>
    <w:lvl w:ilvl="0" w:tplc="6428C978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AEB4CF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3A8A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7A52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408D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53483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B472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4C4E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CC5E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27940874">
    <w:abstractNumId w:val="2"/>
  </w:num>
  <w:num w:numId="2" w16cid:durableId="936061878">
    <w:abstractNumId w:val="4"/>
  </w:num>
  <w:num w:numId="3" w16cid:durableId="922492022">
    <w:abstractNumId w:val="5"/>
  </w:num>
  <w:num w:numId="4" w16cid:durableId="1256090913">
    <w:abstractNumId w:val="6"/>
  </w:num>
  <w:num w:numId="5" w16cid:durableId="1478499492">
    <w:abstractNumId w:val="0"/>
  </w:num>
  <w:num w:numId="6" w16cid:durableId="2030720455">
    <w:abstractNumId w:val="3"/>
  </w:num>
  <w:num w:numId="7" w16cid:durableId="2028169323">
    <w:abstractNumId w:val="8"/>
  </w:num>
  <w:num w:numId="8" w16cid:durableId="1225026054">
    <w:abstractNumId w:val="7"/>
  </w:num>
  <w:num w:numId="9" w16cid:durableId="484199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4CC"/>
    <w:rsid w:val="003A2A34"/>
    <w:rsid w:val="006667AD"/>
    <w:rsid w:val="00764B22"/>
    <w:rsid w:val="007E3649"/>
    <w:rsid w:val="00982086"/>
    <w:rsid w:val="009A1D65"/>
    <w:rsid w:val="00AA44CC"/>
    <w:rsid w:val="00E5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F7D8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  <w:pPr>
      <w:spacing w:after="0"/>
    </w:pPr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Заголовок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2994</Words>
  <Characters>17068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18</cp:revision>
  <dcterms:created xsi:type="dcterms:W3CDTF">2013-12-23T23:15:00Z</dcterms:created>
  <dcterms:modified xsi:type="dcterms:W3CDTF">2026-09-17T06:30:00Z</dcterms:modified>
  <cp:category/>
</cp:coreProperties>
</file>