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42EB3" w14:textId="77777777" w:rsidR="000260A9" w:rsidRDefault="00000000">
      <w:pPr>
        <w:spacing w:after="40"/>
        <w:jc w:val="right"/>
        <w:rPr>
          <w:lang w:val="ru-RU"/>
        </w:rPr>
      </w:pPr>
      <w:r>
        <w:rPr>
          <w:lang w:val="ru-RU"/>
        </w:rPr>
        <w:t>Приложение № 8 к Пользовательскому соглашению</w:t>
      </w:r>
    </w:p>
    <w:p w14:paraId="72805F7E" w14:textId="77777777" w:rsidR="000260A9" w:rsidRDefault="000260A9">
      <w:pPr>
        <w:spacing w:after="40"/>
        <w:jc w:val="right"/>
        <w:rPr>
          <w:lang w:val="ru-RU"/>
        </w:rPr>
      </w:pPr>
    </w:p>
    <w:p w14:paraId="41DC5624" w14:textId="77777777" w:rsidR="000260A9" w:rsidRDefault="00000000">
      <w:pPr>
        <w:spacing w:after="160"/>
        <w:jc w:val="center"/>
        <w:rPr>
          <w:lang w:val="ru-RU"/>
        </w:rPr>
      </w:pPr>
      <w:r>
        <w:rPr>
          <w:b/>
          <w:sz w:val="26"/>
          <w:lang w:val="ru-RU"/>
        </w:rPr>
        <w:t>ТАРИФЫ ОПЕРАТОРА</w:t>
      </w:r>
      <w:r>
        <w:rPr>
          <w:b/>
          <w:sz w:val="26"/>
          <w:lang w:val="ru-RU"/>
        </w:rPr>
        <w:br/>
        <w:t>ЭТП «СТАН-Торги»</w:t>
      </w:r>
    </w:p>
    <w:p w14:paraId="3CE1762D" w14:textId="77777777" w:rsidR="000260A9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1. Настоящие Тарифы являются Приложением № 8 к Пользовательскому соглашению о предоставлении права использования функциональных возможностей ЭТП «СТАН-Торги» (далее — «Соглашение») и устанавливают стоимость услуг Оператора. Все цены указаны в рублях Российской Федерации и включают налог на добавленную стоимость, если Оператор является плательщиком налога на добавленную стоимость; порядок исчисления налогов определяется законодательством Российской Федерации. </w:t>
      </w:r>
    </w:p>
    <w:p w14:paraId="307F60AF" w14:textId="77777777" w:rsidR="000260A9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2. Тарифы размещаются на сайте ЭТП «СТАН-Торги» (</w:t>
      </w:r>
      <w:hyperlink r:id="rId8" w:tooltip="https://stantorgi.ru" w:history="1">
        <w:r w:rsidR="000260A9">
          <w:rPr>
            <w:rStyle w:val="afff0"/>
            <w:lang w:val="ru-RU"/>
          </w:rPr>
          <w:t>https://stantorgi.ru</w:t>
        </w:r>
      </w:hyperlink>
      <w:r>
        <w:rPr>
          <w:lang w:val="ru-RU"/>
        </w:rPr>
        <w:t>), на сайте Оператора (</w:t>
      </w:r>
      <w:hyperlink r:id="rId9" w:tooltip="https://stan-torgi.ru" w:history="1">
        <w:r w:rsidR="000260A9">
          <w:rPr>
            <w:rStyle w:val="afff0"/>
            <w:lang w:val="ru-RU"/>
          </w:rPr>
          <w:t>https://stan-torgi.ru</w:t>
        </w:r>
      </w:hyperlink>
      <w:r>
        <w:rPr>
          <w:lang w:val="ru-RU"/>
        </w:rPr>
        <w:t>) и в Личном кабинете Пользователя. Изменения Тарифов вступают в силу не ранее чем через 10 (десять) календарных дней с даты опубликования (пункт 10.2 Соглашения); ранее оплаченные периоды оплачиваются по ранее действовавшим Тарифам.</w:t>
      </w:r>
    </w:p>
    <w:p w14:paraId="21ACE63A" w14:textId="77777777" w:rsidR="000260A9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3. Для целей настоящих Тарифов Победитель Процедуры — Участник процедуры, с которым по результатам Процедуры заключается договор (в том числе единственный участник, с которым заключается договор) (Приложение № 1 к Соглашению).</w:t>
      </w:r>
    </w:p>
    <w:p w14:paraId="010911F2" w14:textId="77777777" w:rsidR="000260A9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Раздел 1. Тарифы в секции «Закупки по 223-ФЗ»</w:t>
      </w:r>
    </w:p>
    <w:tbl>
      <w:tblPr>
        <w:tblStyle w:val="aff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73"/>
        <w:gridCol w:w="2268"/>
      </w:tblGrid>
      <w:tr w:rsidR="000260A9" w14:paraId="3822A8C2" w14:textId="77777777">
        <w:trPr>
          <w:tblHeader/>
          <w:jc w:val="center"/>
        </w:trPr>
        <w:tc>
          <w:tcPr>
            <w:tcW w:w="6973" w:type="dxa"/>
          </w:tcPr>
          <w:p w14:paraId="54022058" w14:textId="77777777" w:rsidR="000260A9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Услуга</w:t>
            </w:r>
            <w:proofErr w:type="spellEnd"/>
          </w:p>
        </w:tc>
        <w:tc>
          <w:tcPr>
            <w:tcW w:w="2268" w:type="dxa"/>
          </w:tcPr>
          <w:p w14:paraId="709FA8FB" w14:textId="77777777" w:rsidR="000260A9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Стоимость</w:t>
            </w:r>
            <w:proofErr w:type="spellEnd"/>
          </w:p>
        </w:tc>
      </w:tr>
      <w:tr w:rsidR="000260A9" w14:paraId="0912E7A9" w14:textId="77777777">
        <w:trPr>
          <w:jc w:val="center"/>
        </w:trPr>
        <w:tc>
          <w:tcPr>
            <w:tcW w:w="6973" w:type="dxa"/>
          </w:tcPr>
          <w:p w14:paraId="24B0F2D2" w14:textId="77777777" w:rsidR="000260A9" w:rsidRDefault="00000000">
            <w:proofErr w:type="spellStart"/>
            <w:r>
              <w:rPr>
                <w:sz w:val="20"/>
              </w:rPr>
              <w:t>Стандартная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регистрация</w:t>
            </w:r>
            <w:proofErr w:type="spellEnd"/>
            <w:r>
              <w:rPr>
                <w:sz w:val="20"/>
              </w:rPr>
              <w:t xml:space="preserve"> и </w:t>
            </w:r>
            <w:proofErr w:type="spellStart"/>
            <w:r>
              <w:rPr>
                <w:sz w:val="20"/>
              </w:rPr>
              <w:t>аккредитация</w:t>
            </w:r>
            <w:proofErr w:type="spellEnd"/>
          </w:p>
        </w:tc>
        <w:tc>
          <w:tcPr>
            <w:tcW w:w="2268" w:type="dxa"/>
          </w:tcPr>
          <w:p w14:paraId="33601BAF" w14:textId="77777777" w:rsidR="000260A9" w:rsidRDefault="00000000">
            <w:proofErr w:type="spellStart"/>
            <w:r>
              <w:rPr>
                <w:sz w:val="20"/>
              </w:rPr>
              <w:t>бесплатно</w:t>
            </w:r>
            <w:proofErr w:type="spellEnd"/>
          </w:p>
        </w:tc>
      </w:tr>
      <w:tr w:rsidR="000260A9" w14:paraId="40AA65DD" w14:textId="77777777">
        <w:trPr>
          <w:jc w:val="center"/>
        </w:trPr>
        <w:tc>
          <w:tcPr>
            <w:tcW w:w="6973" w:type="dxa"/>
          </w:tcPr>
          <w:p w14:paraId="354E0521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Аккредитация ускоренная (дополнительная платная услуга; рассмотрение заявки на аккредитацию в течение 1 рабочего дня после оплаты)</w:t>
            </w:r>
          </w:p>
        </w:tc>
        <w:tc>
          <w:tcPr>
            <w:tcW w:w="2268" w:type="dxa"/>
          </w:tcPr>
          <w:p w14:paraId="0D278873" w14:textId="77777777" w:rsidR="000260A9" w:rsidRDefault="00000000">
            <w:r>
              <w:rPr>
                <w:sz w:val="20"/>
              </w:rPr>
              <w:t xml:space="preserve">10 000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260A9" w14:paraId="275FCF69" w14:textId="77777777">
        <w:trPr>
          <w:jc w:val="center"/>
        </w:trPr>
        <w:tc>
          <w:tcPr>
            <w:tcW w:w="6973" w:type="dxa"/>
          </w:tcPr>
          <w:p w14:paraId="6412B111" w14:textId="77777777" w:rsidR="000260A9" w:rsidRDefault="00000000">
            <w:proofErr w:type="spellStart"/>
            <w:r>
              <w:rPr>
                <w:sz w:val="20"/>
              </w:rPr>
              <w:t>Организация</w:t>
            </w:r>
            <w:proofErr w:type="spellEnd"/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размещение</w:t>
            </w:r>
            <w:proofErr w:type="spellEnd"/>
            <w:r>
              <w:rPr>
                <w:sz w:val="20"/>
              </w:rPr>
              <w:t xml:space="preserve">) </w:t>
            </w:r>
            <w:proofErr w:type="spellStart"/>
            <w:r>
              <w:rPr>
                <w:sz w:val="20"/>
              </w:rPr>
              <w:t>Процедуры</w:t>
            </w:r>
            <w:proofErr w:type="spellEnd"/>
          </w:p>
        </w:tc>
        <w:tc>
          <w:tcPr>
            <w:tcW w:w="2268" w:type="dxa"/>
          </w:tcPr>
          <w:p w14:paraId="3C1FB497" w14:textId="77777777" w:rsidR="000260A9" w:rsidRDefault="00000000">
            <w:proofErr w:type="spellStart"/>
            <w:r>
              <w:rPr>
                <w:sz w:val="20"/>
              </w:rPr>
              <w:t>бесплатно</w:t>
            </w:r>
            <w:proofErr w:type="spellEnd"/>
          </w:p>
        </w:tc>
      </w:tr>
      <w:tr w:rsidR="000260A9" w14:paraId="44EDBBB6" w14:textId="77777777">
        <w:trPr>
          <w:jc w:val="center"/>
        </w:trPr>
        <w:tc>
          <w:tcPr>
            <w:tcW w:w="6973" w:type="dxa"/>
          </w:tcPr>
          <w:p w14:paraId="21A4BEB8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Участие в Процедуре (если индивидуальным тарифом Заказчика не установлена плата за участие)</w:t>
            </w:r>
          </w:p>
        </w:tc>
        <w:tc>
          <w:tcPr>
            <w:tcW w:w="2268" w:type="dxa"/>
          </w:tcPr>
          <w:p w14:paraId="48356EF0" w14:textId="77777777" w:rsidR="000260A9" w:rsidRDefault="00000000">
            <w:proofErr w:type="spellStart"/>
            <w:r>
              <w:rPr>
                <w:sz w:val="20"/>
              </w:rPr>
              <w:t>бесплатно</w:t>
            </w:r>
            <w:proofErr w:type="spellEnd"/>
          </w:p>
        </w:tc>
      </w:tr>
      <w:tr w:rsidR="000260A9" w:rsidRPr="00E70878" w14:paraId="5F114844" w14:textId="77777777">
        <w:trPr>
          <w:jc w:val="center"/>
        </w:trPr>
        <w:tc>
          <w:tcPr>
            <w:tcW w:w="6973" w:type="dxa"/>
          </w:tcPr>
          <w:p w14:paraId="6F471CBE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Тариф за победу — взимается с Победителя Процедуры (лица, с которым заключается договор) (если иное не установлено индивидуальным тарифом Заказчика)</w:t>
            </w:r>
          </w:p>
        </w:tc>
        <w:tc>
          <w:tcPr>
            <w:tcW w:w="2268" w:type="dxa"/>
          </w:tcPr>
          <w:p w14:paraId="162686E2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2% от НМЦД (без верхней границы)</w:t>
            </w:r>
          </w:p>
        </w:tc>
      </w:tr>
      <w:tr w:rsidR="000260A9" w14:paraId="00BF7104" w14:textId="77777777">
        <w:trPr>
          <w:jc w:val="center"/>
        </w:trPr>
        <w:tc>
          <w:tcPr>
            <w:tcW w:w="6973" w:type="dxa"/>
          </w:tcPr>
          <w:p w14:paraId="350E5370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Тариф за победу в Процедурах без НМЦД (с Победителя Процедуры) (если иное не установлено индивидуальным тарифом Заказчика)</w:t>
            </w:r>
          </w:p>
        </w:tc>
        <w:tc>
          <w:tcPr>
            <w:tcW w:w="2268" w:type="dxa"/>
          </w:tcPr>
          <w:p w14:paraId="01A3B766" w14:textId="77777777" w:rsidR="000260A9" w:rsidRDefault="00000000">
            <w:r>
              <w:rPr>
                <w:sz w:val="20"/>
              </w:rPr>
              <w:t xml:space="preserve">10 000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260A9" w14:paraId="372EB4CD" w14:textId="77777777">
        <w:trPr>
          <w:jc w:val="center"/>
        </w:trPr>
        <w:tc>
          <w:tcPr>
            <w:tcW w:w="6973" w:type="dxa"/>
          </w:tcPr>
          <w:p w14:paraId="4B5F5955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Отдельная секция с индивидуальным дизайном (дополнительная услуга, оплачивается по отдельному счёту)</w:t>
            </w:r>
          </w:p>
        </w:tc>
        <w:tc>
          <w:tcPr>
            <w:tcW w:w="2268" w:type="dxa"/>
          </w:tcPr>
          <w:p w14:paraId="23F2DDAB" w14:textId="77777777" w:rsidR="000260A9" w:rsidRDefault="00000000">
            <w:r>
              <w:rPr>
                <w:sz w:val="20"/>
              </w:rPr>
              <w:t xml:space="preserve">30 000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15DAE17C" w14:textId="77777777" w:rsidR="000260A9" w:rsidRDefault="00000000">
      <w:pPr>
        <w:spacing w:before="120" w:after="40"/>
        <w:ind w:firstLine="567"/>
        <w:jc w:val="both"/>
      </w:pPr>
      <w:proofErr w:type="spellStart"/>
      <w:r>
        <w:rPr>
          <w:b/>
          <w:sz w:val="20"/>
        </w:rPr>
        <w:t>Примечания</w:t>
      </w:r>
      <w:proofErr w:type="spellEnd"/>
      <w:r>
        <w:rPr>
          <w:b/>
          <w:sz w:val="20"/>
        </w:rPr>
        <w:t xml:space="preserve"> к </w:t>
      </w:r>
      <w:proofErr w:type="spellStart"/>
      <w:r>
        <w:rPr>
          <w:b/>
          <w:sz w:val="20"/>
        </w:rPr>
        <w:t>разделу</w:t>
      </w:r>
      <w:proofErr w:type="spellEnd"/>
      <w:r>
        <w:rPr>
          <w:b/>
          <w:sz w:val="20"/>
        </w:rPr>
        <w:t xml:space="preserve"> 1:</w:t>
      </w:r>
    </w:p>
    <w:p w14:paraId="090910B1" w14:textId="77777777" w:rsidR="000260A9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1) Плата за участие в Процедурах в секции «Закупки по 223-ФЗ» с Участников процедур, за исключением Победителя Процедуры, не взимается, если индивидуальным тарифом Заказчика не установлено иное (примечания 4 и 5 к настоящему разделу).</w:t>
      </w:r>
    </w:p>
    <w:p w14:paraId="3BD20415" w14:textId="6FD928F2" w:rsidR="000260A9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2) В Процедуре, разделённой на лоты, тариф за победу исчисляется по каждому лоту, по которому заключается договор, от начальной (максимальной) цены такого лота. Плата за участие, если она установлена индивидуальным тарифом Заказчика, списывается с лицевого счёта Участника процедуры при подаче заявки, возвращается при отзыве/отклонении заявки. В случае если законодательством Российской Федерации для закупок, проводимых в соответствии с Федеральным законом № 223-ФЗ, установлены предельные размеры платы, взимаемой операторами электронных площадок, применяются такие предельные размеры.</w:t>
      </w:r>
    </w:p>
    <w:p w14:paraId="02F372CC" w14:textId="77777777" w:rsidR="000260A9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3) Стандартная процедура аккредитации осуществляется бесплатно; ускоренная аккредитация — дополнительная платная услуга Оператора (пункт 3.2 Соглашения, пункт 2.7 Правил регистрации и аккредитации Пользователей (Приложение № 3)). Ускоренная аккредитация оплачивается по отдельному счёту и с лицевого счёта не списывается.</w:t>
      </w:r>
    </w:p>
    <w:p w14:paraId="5087B56E" w14:textId="1800E86F" w:rsidR="000260A9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lastRenderedPageBreak/>
        <w:t xml:space="preserve">4) Для Заказчика по договорённости с Оператором может быть установлен индивидуальный тариф, предусматривающий иной размер платы Оператора и (или) иное основание её взимания: «за победу» (с Победителя Процедуры) либо «за участие» (с каждого Участника процедуры при подаче заявки). </w:t>
      </w:r>
    </w:p>
    <w:p w14:paraId="01481515" w14:textId="77777777" w:rsidR="000260A9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5) Сведения об индивидуальном тарифе (размер платы Оператора и основание её взимания) указываются и в карточке Процедуры. Если такие сведения не указаны, применяются тарифы, установленные настоящим разделом.</w:t>
      </w:r>
    </w:p>
    <w:p w14:paraId="455D821F" w14:textId="77777777" w:rsidR="000260A9" w:rsidRDefault="00000000">
      <w:pPr>
        <w:spacing w:before="160" w:after="120"/>
        <w:ind w:firstLine="567"/>
        <w:jc w:val="both"/>
        <w:rPr>
          <w:lang w:val="ru-RU"/>
        </w:rPr>
      </w:pPr>
      <w:r>
        <w:rPr>
          <w:b/>
          <w:sz w:val="24"/>
          <w:lang w:val="ru-RU"/>
        </w:rPr>
        <w:t>Раздел 2. Тарифы в секциях «Коммерческие закупки» и «Продажа»</w:t>
      </w:r>
    </w:p>
    <w:p w14:paraId="2F55C1A5" w14:textId="77777777" w:rsidR="000260A9" w:rsidRDefault="00000000">
      <w:pPr>
        <w:spacing w:after="80"/>
        <w:ind w:firstLine="567"/>
        <w:jc w:val="both"/>
        <w:rPr>
          <w:lang w:val="ru-RU"/>
        </w:rPr>
      </w:pPr>
      <w:r>
        <w:rPr>
          <w:lang w:val="ru-RU"/>
        </w:rPr>
        <w:t>Абонентская плата за предоставление доступа к секциям «Коммерческие закупки» и «Продажа» (организация Процедур и участие в них, размещение Объявлений (предварительных предложений) и участие в закупках способом «Электронный магазин» в пределах лимитов периода):</w:t>
      </w:r>
    </w:p>
    <w:p w14:paraId="07F2A8D7" w14:textId="77777777" w:rsidR="000260A9" w:rsidRDefault="000260A9">
      <w:pPr>
        <w:spacing w:after="40"/>
        <w:jc w:val="right"/>
        <w:rPr>
          <w:lang w:val="ru-RU"/>
        </w:rPr>
      </w:pPr>
    </w:p>
    <w:tbl>
      <w:tblPr>
        <w:tblStyle w:val="aff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6379"/>
        <w:gridCol w:w="1274"/>
      </w:tblGrid>
      <w:tr w:rsidR="000260A9" w14:paraId="40FE03DE" w14:textId="77777777">
        <w:trPr>
          <w:tblHeader/>
          <w:jc w:val="center"/>
        </w:trPr>
        <w:tc>
          <w:tcPr>
            <w:tcW w:w="1701" w:type="dxa"/>
          </w:tcPr>
          <w:p w14:paraId="0344080A" w14:textId="77777777" w:rsidR="000260A9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Период</w:t>
            </w:r>
            <w:proofErr w:type="spellEnd"/>
          </w:p>
        </w:tc>
        <w:tc>
          <w:tcPr>
            <w:tcW w:w="6379" w:type="dxa"/>
          </w:tcPr>
          <w:p w14:paraId="63F5297E" w14:textId="77777777" w:rsidR="000260A9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Возможности</w:t>
            </w:r>
            <w:proofErr w:type="spellEnd"/>
          </w:p>
        </w:tc>
        <w:tc>
          <w:tcPr>
            <w:tcW w:w="1274" w:type="dxa"/>
          </w:tcPr>
          <w:p w14:paraId="4F45BA04" w14:textId="77777777" w:rsidR="000260A9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Стоимость</w:t>
            </w:r>
            <w:proofErr w:type="spellEnd"/>
          </w:p>
        </w:tc>
      </w:tr>
      <w:tr w:rsidR="000260A9" w14:paraId="3CCD91A9" w14:textId="77777777">
        <w:trPr>
          <w:jc w:val="center"/>
        </w:trPr>
        <w:tc>
          <w:tcPr>
            <w:tcW w:w="1701" w:type="dxa"/>
          </w:tcPr>
          <w:p w14:paraId="6BE7425F" w14:textId="77777777" w:rsidR="000260A9" w:rsidRDefault="00000000">
            <w:r>
              <w:rPr>
                <w:sz w:val="20"/>
              </w:rPr>
              <w:t xml:space="preserve">3 </w:t>
            </w:r>
            <w:proofErr w:type="spellStart"/>
            <w:r>
              <w:rPr>
                <w:sz w:val="20"/>
              </w:rPr>
              <w:t>месяца</w:t>
            </w:r>
            <w:proofErr w:type="spellEnd"/>
          </w:p>
        </w:tc>
        <w:tc>
          <w:tcPr>
            <w:tcW w:w="6379" w:type="dxa"/>
          </w:tcPr>
          <w:p w14:paraId="21EA37D7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размещение до 5 Объявлений (предварительных предложений); до 5 участий в закупках способом «Электронный магазин»; неограниченное количество организуемых коммерческих Процедур</w:t>
            </w:r>
          </w:p>
        </w:tc>
        <w:tc>
          <w:tcPr>
            <w:tcW w:w="1274" w:type="dxa"/>
          </w:tcPr>
          <w:p w14:paraId="316CFA5D" w14:textId="77777777" w:rsidR="000260A9" w:rsidRDefault="00000000">
            <w:r>
              <w:rPr>
                <w:sz w:val="20"/>
              </w:rPr>
              <w:t xml:space="preserve">8 000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260A9" w14:paraId="503DD83F" w14:textId="77777777">
        <w:trPr>
          <w:jc w:val="center"/>
        </w:trPr>
        <w:tc>
          <w:tcPr>
            <w:tcW w:w="1701" w:type="dxa"/>
          </w:tcPr>
          <w:p w14:paraId="3559CC00" w14:textId="77777777" w:rsidR="000260A9" w:rsidRDefault="00000000">
            <w:r>
              <w:rPr>
                <w:sz w:val="20"/>
              </w:rPr>
              <w:t xml:space="preserve">6 </w:t>
            </w:r>
            <w:proofErr w:type="spellStart"/>
            <w:r>
              <w:rPr>
                <w:sz w:val="20"/>
              </w:rPr>
              <w:t>месяцев</w:t>
            </w:r>
            <w:proofErr w:type="spellEnd"/>
          </w:p>
        </w:tc>
        <w:tc>
          <w:tcPr>
            <w:tcW w:w="6379" w:type="dxa"/>
          </w:tcPr>
          <w:p w14:paraId="50F3DA0A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размещение до 10 Объявлений (предварительных предложений); до 10 участий в закупках способом «Электронный магазин»; неограниченное количество организуемых коммерческих Процедур</w:t>
            </w:r>
          </w:p>
        </w:tc>
        <w:tc>
          <w:tcPr>
            <w:tcW w:w="1274" w:type="dxa"/>
          </w:tcPr>
          <w:p w14:paraId="36009AC2" w14:textId="77777777" w:rsidR="000260A9" w:rsidRDefault="00000000">
            <w:r>
              <w:rPr>
                <w:sz w:val="20"/>
              </w:rPr>
              <w:t xml:space="preserve">10 000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260A9" w14:paraId="790540EF" w14:textId="77777777">
        <w:trPr>
          <w:jc w:val="center"/>
        </w:trPr>
        <w:tc>
          <w:tcPr>
            <w:tcW w:w="1701" w:type="dxa"/>
          </w:tcPr>
          <w:p w14:paraId="6F9DC592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</w:rPr>
              <w:t xml:space="preserve">12 </w:t>
            </w:r>
            <w:r>
              <w:rPr>
                <w:sz w:val="20"/>
                <w:lang w:val="ru-RU"/>
              </w:rPr>
              <w:t>месяцев</w:t>
            </w:r>
          </w:p>
        </w:tc>
        <w:tc>
          <w:tcPr>
            <w:tcW w:w="6379" w:type="dxa"/>
          </w:tcPr>
          <w:p w14:paraId="12B16655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размещение до 10 Объявлений (предварительных предложений); до 10 участий в закупках способом «Электронный магазин»; неограниченное количество организуемых коммерческих Процедур</w:t>
            </w:r>
          </w:p>
        </w:tc>
        <w:tc>
          <w:tcPr>
            <w:tcW w:w="1274" w:type="dxa"/>
          </w:tcPr>
          <w:p w14:paraId="3AAF7AC2" w14:textId="77777777" w:rsidR="000260A9" w:rsidRDefault="00000000">
            <w:r>
              <w:rPr>
                <w:sz w:val="20"/>
              </w:rPr>
              <w:t xml:space="preserve">15 000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260A9" w14:paraId="6A92A1A1" w14:textId="77777777">
        <w:trPr>
          <w:jc w:val="center"/>
        </w:trPr>
        <w:tc>
          <w:tcPr>
            <w:tcW w:w="1701" w:type="dxa"/>
          </w:tcPr>
          <w:p w14:paraId="59991692" w14:textId="77777777" w:rsidR="000260A9" w:rsidRDefault="00000000">
            <w:r>
              <w:rPr>
                <w:sz w:val="20"/>
                <w:lang w:val="ru-RU"/>
              </w:rPr>
              <w:t>Опция</w:t>
            </w:r>
          </w:p>
        </w:tc>
        <w:tc>
          <w:tcPr>
            <w:tcW w:w="6379" w:type="dxa"/>
          </w:tcPr>
          <w:p w14:paraId="6103C1B8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увеличение количества Объявлений (предварительных предложений)</w:t>
            </w:r>
          </w:p>
        </w:tc>
        <w:tc>
          <w:tcPr>
            <w:tcW w:w="1274" w:type="dxa"/>
          </w:tcPr>
          <w:p w14:paraId="682B9226" w14:textId="77777777" w:rsidR="000260A9" w:rsidRDefault="00000000">
            <w:r>
              <w:rPr>
                <w:sz w:val="20"/>
              </w:rPr>
              <w:t xml:space="preserve">1 000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за</w:t>
            </w:r>
            <w:proofErr w:type="spellEnd"/>
            <w:r>
              <w:rPr>
                <w:sz w:val="20"/>
              </w:rPr>
              <w:t xml:space="preserve"> 1 </w:t>
            </w:r>
            <w:proofErr w:type="spellStart"/>
            <w:r>
              <w:rPr>
                <w:sz w:val="20"/>
              </w:rPr>
              <w:t>шт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260A9" w14:paraId="3FDC7872" w14:textId="77777777">
        <w:trPr>
          <w:jc w:val="center"/>
        </w:trPr>
        <w:tc>
          <w:tcPr>
            <w:tcW w:w="1701" w:type="dxa"/>
          </w:tcPr>
          <w:p w14:paraId="164F97ED" w14:textId="77777777" w:rsidR="000260A9" w:rsidRDefault="00000000">
            <w:r>
              <w:rPr>
                <w:sz w:val="20"/>
                <w:lang w:val="ru-RU"/>
              </w:rPr>
              <w:t>Опция</w:t>
            </w:r>
          </w:p>
        </w:tc>
        <w:tc>
          <w:tcPr>
            <w:tcW w:w="6379" w:type="dxa"/>
          </w:tcPr>
          <w:p w14:paraId="06840AEF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индивидуальный дизайн страницы Пользователя (дополнительная услуга, оплачивается по отдельному счёту)</w:t>
            </w:r>
          </w:p>
        </w:tc>
        <w:tc>
          <w:tcPr>
            <w:tcW w:w="1274" w:type="dxa"/>
          </w:tcPr>
          <w:p w14:paraId="12A43045" w14:textId="77777777" w:rsidR="000260A9" w:rsidRDefault="00000000">
            <w:r>
              <w:rPr>
                <w:sz w:val="20"/>
              </w:rPr>
              <w:t xml:space="preserve">30 000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08057BCB" w14:textId="77777777" w:rsidR="000260A9" w:rsidRDefault="00000000">
      <w:pPr>
        <w:spacing w:before="120" w:after="40"/>
        <w:ind w:firstLine="567"/>
        <w:jc w:val="both"/>
      </w:pPr>
      <w:proofErr w:type="spellStart"/>
      <w:r>
        <w:rPr>
          <w:b/>
          <w:sz w:val="20"/>
        </w:rPr>
        <w:t>Примечания</w:t>
      </w:r>
      <w:proofErr w:type="spellEnd"/>
      <w:r>
        <w:rPr>
          <w:b/>
          <w:sz w:val="20"/>
        </w:rPr>
        <w:t xml:space="preserve"> к </w:t>
      </w:r>
      <w:proofErr w:type="spellStart"/>
      <w:r>
        <w:rPr>
          <w:b/>
          <w:sz w:val="20"/>
        </w:rPr>
        <w:t>разделу</w:t>
      </w:r>
      <w:proofErr w:type="spellEnd"/>
      <w:r>
        <w:rPr>
          <w:b/>
          <w:sz w:val="20"/>
        </w:rPr>
        <w:t xml:space="preserve"> 2:</w:t>
      </w:r>
    </w:p>
    <w:p w14:paraId="556ACE12" w14:textId="77777777" w:rsidR="000260A9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1) Абонентскую плату вносят как Организатор процедур, так и Участник процедуры. Доступ к секциям предоставляется после оплаты соответствующего периода по отдельному счёту на оплату, сформированному в разделе «Подписка» Личного кабинета (пункт 4.3 Соглашения); абонентская плата с лицевого счёта не списывается (пункт 6.1 Приложения № 4). Без оплаченного периода Процедуры секций «Коммерческие закупки» и «Продажа» доступны для просмотра, но опубликовать Процедуру или подать заявку на участие в ней нельзя. При неоплате очередного периода доступ приостанавливается до момента оплаты; Процедуры, опубликованные до приостановления доступа, и Процедуры, заявки на участие в которых поданы до приостановления доступа, доводятся до завершения.</w:t>
      </w:r>
    </w:p>
    <w:p w14:paraId="7D7072A2" w14:textId="77777777" w:rsidR="000260A9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 xml:space="preserve">При осуществлении закупки способом «Электронный магазин» с Заказчика по 223-ФЗ </w:t>
      </w:r>
      <w:r>
        <w:rPr>
          <w:color w:val="FF0000"/>
          <w:lang w:val="ru-RU"/>
        </w:rPr>
        <w:t>абонентская плата не взимается</w:t>
      </w:r>
      <w:r>
        <w:rPr>
          <w:lang w:val="ru-RU"/>
        </w:rPr>
        <w:t>.</w:t>
      </w:r>
    </w:p>
    <w:p w14:paraId="5DEAB8D8" w14:textId="77777777" w:rsidR="000260A9" w:rsidRDefault="00000000">
      <w:pPr>
        <w:spacing w:after="40"/>
        <w:ind w:firstLine="567"/>
        <w:jc w:val="both"/>
        <w:rPr>
          <w:lang w:val="ru-RU"/>
        </w:rPr>
      </w:pPr>
      <w:r>
        <w:rPr>
          <w:lang w:val="ru-RU"/>
        </w:rPr>
        <w:t>2) Неиспользованные в оплаченном периоде лимиты на последующие периоды не переносятся. Объявления (предварительные предложения), количество которых превышает лимит, действующий после окончания оплаченного периода, при окончании периода снимаются с публикации.</w:t>
      </w:r>
    </w:p>
    <w:p w14:paraId="10C22A63" w14:textId="77777777" w:rsidR="000260A9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>3) Организация Процедур в секциях «Коммерческие закупки» и «Продажа» не ограничена (неограниченное количество организуемых коммерческих Процедур) в рамках выбранного Тарифа. Тариф за победу в секциях «Коммерческие закупки» и «Продажа» не взимается.</w:t>
      </w:r>
    </w:p>
    <w:p w14:paraId="03E0CB5F" w14:textId="77777777" w:rsidR="000260A9" w:rsidRDefault="00000000">
      <w:pPr>
        <w:spacing w:after="120"/>
        <w:ind w:firstLine="567"/>
        <w:jc w:val="both"/>
        <w:rPr>
          <w:lang w:val="ru-RU"/>
        </w:rPr>
      </w:pPr>
      <w:r>
        <w:rPr>
          <w:lang w:val="ru-RU"/>
        </w:rPr>
        <w:t xml:space="preserve">4) Способ закупки «Электронный магазин» применяется только в секции «Коммерческие закупки». Участием в закупке способом «Электронный магазин» считается Объявление </w:t>
      </w:r>
      <w:r>
        <w:rPr>
          <w:lang w:val="ru-RU"/>
        </w:rPr>
        <w:lastRenderedPageBreak/>
        <w:t>(предварительное предложение) Участника процедуры, отобранное Оператором и направленное Заказчику по такой закупке.</w:t>
      </w:r>
    </w:p>
    <w:p w14:paraId="678F4BB4" w14:textId="77777777" w:rsidR="000260A9" w:rsidRDefault="00000000">
      <w:pPr>
        <w:spacing w:before="160" w:after="120"/>
        <w:ind w:firstLine="567"/>
        <w:jc w:val="both"/>
      </w:pPr>
      <w:proofErr w:type="spellStart"/>
      <w:r>
        <w:rPr>
          <w:b/>
          <w:sz w:val="24"/>
        </w:rPr>
        <w:t>Раздел</w:t>
      </w:r>
      <w:proofErr w:type="spellEnd"/>
      <w:r>
        <w:rPr>
          <w:b/>
          <w:sz w:val="24"/>
        </w:rPr>
        <w:t xml:space="preserve"> 3. </w:t>
      </w:r>
      <w:proofErr w:type="spellStart"/>
      <w:r>
        <w:rPr>
          <w:b/>
          <w:sz w:val="24"/>
        </w:rPr>
        <w:t>Дополнительные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услуги</w:t>
      </w:r>
      <w:proofErr w:type="spellEnd"/>
    </w:p>
    <w:tbl>
      <w:tblPr>
        <w:tblStyle w:val="aff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973"/>
        <w:gridCol w:w="2268"/>
      </w:tblGrid>
      <w:tr w:rsidR="000260A9" w14:paraId="394705DD" w14:textId="77777777">
        <w:trPr>
          <w:tblHeader/>
          <w:jc w:val="center"/>
        </w:trPr>
        <w:tc>
          <w:tcPr>
            <w:tcW w:w="6973" w:type="dxa"/>
          </w:tcPr>
          <w:p w14:paraId="7F582C9A" w14:textId="77777777" w:rsidR="000260A9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Услуга</w:t>
            </w:r>
            <w:proofErr w:type="spellEnd"/>
          </w:p>
        </w:tc>
        <w:tc>
          <w:tcPr>
            <w:tcW w:w="2268" w:type="dxa"/>
          </w:tcPr>
          <w:p w14:paraId="74B40594" w14:textId="77777777" w:rsidR="000260A9" w:rsidRDefault="00000000">
            <w:pPr>
              <w:jc w:val="center"/>
            </w:pPr>
            <w:proofErr w:type="spellStart"/>
            <w:r>
              <w:rPr>
                <w:b/>
                <w:sz w:val="20"/>
              </w:rPr>
              <w:t>Стоимость</w:t>
            </w:r>
            <w:proofErr w:type="spellEnd"/>
          </w:p>
        </w:tc>
      </w:tr>
      <w:tr w:rsidR="000260A9" w14:paraId="4FDD3323" w14:textId="77777777">
        <w:trPr>
          <w:jc w:val="center"/>
        </w:trPr>
        <w:tc>
          <w:tcPr>
            <w:tcW w:w="6973" w:type="dxa"/>
          </w:tcPr>
          <w:p w14:paraId="74B8B5F1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Аудит закупочной документации (1 Процедура, 1 лот) с внесением изменений в документацию</w:t>
            </w:r>
          </w:p>
        </w:tc>
        <w:tc>
          <w:tcPr>
            <w:tcW w:w="2268" w:type="dxa"/>
          </w:tcPr>
          <w:p w14:paraId="6D28C367" w14:textId="77777777" w:rsidR="000260A9" w:rsidRDefault="00000000">
            <w:r>
              <w:rPr>
                <w:sz w:val="20"/>
              </w:rPr>
              <w:t xml:space="preserve">15 000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260A9" w14:paraId="027DCA08" w14:textId="77777777">
        <w:trPr>
          <w:jc w:val="center"/>
        </w:trPr>
        <w:tc>
          <w:tcPr>
            <w:tcW w:w="6973" w:type="dxa"/>
          </w:tcPr>
          <w:p w14:paraId="73FFB521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Аудит локального нормативного акта, регламентирующего процесс осуществления электронных торгов (в т.ч. Положения о закупке)</w:t>
            </w:r>
          </w:p>
        </w:tc>
        <w:tc>
          <w:tcPr>
            <w:tcW w:w="2268" w:type="dxa"/>
          </w:tcPr>
          <w:p w14:paraId="33D4B703" w14:textId="77777777" w:rsidR="000260A9" w:rsidRDefault="00000000">
            <w:r>
              <w:rPr>
                <w:sz w:val="20"/>
              </w:rPr>
              <w:t xml:space="preserve">30 000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0260A9" w14:paraId="7456EFED" w14:textId="77777777">
        <w:trPr>
          <w:jc w:val="center"/>
        </w:trPr>
        <w:tc>
          <w:tcPr>
            <w:tcW w:w="6973" w:type="dxa"/>
          </w:tcPr>
          <w:p w14:paraId="2EBC4383" w14:textId="77777777" w:rsidR="000260A9" w:rsidRDefault="00000000">
            <w:pPr>
              <w:rPr>
                <w:lang w:val="ru-RU"/>
              </w:rPr>
            </w:pPr>
            <w:r>
              <w:rPr>
                <w:sz w:val="20"/>
                <w:lang w:val="ru-RU"/>
              </w:rPr>
              <w:t>Аудит заявки на участие в Процедуре с рекомендациями</w:t>
            </w:r>
          </w:p>
        </w:tc>
        <w:tc>
          <w:tcPr>
            <w:tcW w:w="2268" w:type="dxa"/>
          </w:tcPr>
          <w:p w14:paraId="0776D1B0" w14:textId="77777777" w:rsidR="000260A9" w:rsidRDefault="00000000">
            <w:r>
              <w:rPr>
                <w:sz w:val="20"/>
              </w:rPr>
              <w:t xml:space="preserve">15 000 </w:t>
            </w:r>
            <w:proofErr w:type="spellStart"/>
            <w:r>
              <w:rPr>
                <w:sz w:val="20"/>
              </w:rPr>
              <w:t>руб</w:t>
            </w:r>
            <w:proofErr w:type="spellEnd"/>
            <w:r>
              <w:rPr>
                <w:sz w:val="20"/>
              </w:rPr>
              <w:t>.</w:t>
            </w:r>
          </w:p>
        </w:tc>
      </w:tr>
    </w:tbl>
    <w:p w14:paraId="463F50A2" w14:textId="77777777" w:rsidR="000260A9" w:rsidRDefault="00000000">
      <w:pPr>
        <w:spacing w:before="120" w:after="120"/>
        <w:ind w:firstLine="567"/>
        <w:jc w:val="both"/>
        <w:rPr>
          <w:lang w:val="ru-RU"/>
        </w:rPr>
      </w:pPr>
      <w:r>
        <w:rPr>
          <w:lang w:val="ru-RU"/>
        </w:rPr>
        <w:t>Оплата услуг по настоящим Тарифам осуществляется в порядке, установленном разделом 4 Соглашения: тариф за победу и плата за участие (раздел 1) списываются с лицевого счёта в порядке, установленном пунктами 6.1–6.3 Приложения № 4 к Соглашению; абонентская плата и опции (раздел 2), ускоренная аккредитация, отдельная секция с индивидуальным дизайном и дополнительные услуги (раздел 3) оплачиваются по отдельному счёту на оплату и с лицевого счёта не списываются.</w:t>
      </w:r>
    </w:p>
    <w:sectPr w:rsidR="000260A9">
      <w:footerReference w:type="default" r:id="rId10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AB993" w14:textId="77777777" w:rsidR="005D203F" w:rsidRDefault="005D203F">
      <w:pPr>
        <w:spacing w:after="0" w:line="240" w:lineRule="auto"/>
      </w:pPr>
      <w:r>
        <w:separator/>
      </w:r>
    </w:p>
  </w:endnote>
  <w:endnote w:type="continuationSeparator" w:id="0">
    <w:p w14:paraId="2418ED99" w14:textId="77777777" w:rsidR="005D203F" w:rsidRDefault="005D2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99FA" w14:textId="77777777" w:rsidR="000260A9" w:rsidRDefault="00000000">
    <w:pPr>
      <w:pStyle w:val="af0"/>
      <w:jc w:val="center"/>
    </w:pPr>
    <w:proofErr w:type="spellStart"/>
    <w:r>
      <w:rPr>
        <w:color w:val="000000"/>
        <w:sz w:val="20"/>
      </w:rPr>
      <w:t>Страница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PAGE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1</w:t>
    </w:r>
    <w:r>
      <w:rPr>
        <w:color w:val="000000"/>
        <w:sz w:val="20"/>
      </w:rPr>
      <w:fldChar w:fldCharType="end"/>
    </w:r>
    <w:r>
      <w:rPr>
        <w:color w:val="000000"/>
        <w:sz w:val="20"/>
      </w:rPr>
      <w:t xml:space="preserve"> </w:t>
    </w:r>
    <w:proofErr w:type="spellStart"/>
    <w:r>
      <w:rPr>
        <w:color w:val="000000"/>
        <w:sz w:val="20"/>
      </w:rPr>
      <w:t>из</w:t>
    </w:r>
    <w:proofErr w:type="spellEnd"/>
    <w:r>
      <w:rPr>
        <w:color w:val="000000"/>
        <w:sz w:val="20"/>
      </w:rPr>
      <w:t xml:space="preserve"> </w:t>
    </w:r>
    <w:r>
      <w:rPr>
        <w:color w:val="000000"/>
        <w:sz w:val="20"/>
      </w:rPr>
      <w:fldChar w:fldCharType="begin"/>
    </w:r>
    <w:r>
      <w:rPr>
        <w:color w:val="000000"/>
        <w:sz w:val="20"/>
      </w:rPr>
      <w:instrText>NUMPAGES</w:instrText>
    </w:r>
    <w:r>
      <w:rPr>
        <w:color w:val="000000"/>
        <w:sz w:val="20"/>
      </w:rPr>
      <w:fldChar w:fldCharType="separate"/>
    </w:r>
    <w:r>
      <w:rPr>
        <w:color w:val="000000"/>
        <w:sz w:val="20"/>
      </w:rPr>
      <w:t>2</w:t>
    </w:r>
    <w:r>
      <w:rPr>
        <w:color w:val="000000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D0EED" w14:textId="77777777" w:rsidR="005D203F" w:rsidRDefault="005D203F">
      <w:pPr>
        <w:spacing w:after="0" w:line="240" w:lineRule="auto"/>
      </w:pPr>
      <w:r>
        <w:separator/>
      </w:r>
    </w:p>
  </w:footnote>
  <w:footnote w:type="continuationSeparator" w:id="0">
    <w:p w14:paraId="238FE7EA" w14:textId="77777777" w:rsidR="005D203F" w:rsidRDefault="005D20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44FD4"/>
    <w:multiLevelType w:val="hybridMultilevel"/>
    <w:tmpl w:val="8D9C0AAC"/>
    <w:lvl w:ilvl="0" w:tplc="E9C0288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3A1EDD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2A3E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7E27E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25AF8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65AA1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7EC48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B20C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16AA9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50D3DA0"/>
    <w:multiLevelType w:val="hybridMultilevel"/>
    <w:tmpl w:val="DC6A7532"/>
    <w:lvl w:ilvl="0" w:tplc="8AEE6B78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6DD878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33E6B1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6268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C243A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846D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670DEE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886BE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82E692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2869079A"/>
    <w:multiLevelType w:val="hybridMultilevel"/>
    <w:tmpl w:val="9B40920A"/>
    <w:lvl w:ilvl="0" w:tplc="09AECC2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E17845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3C6E4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10C22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7FACB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A3839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86C85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CACF8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D00AF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8CF4A61"/>
    <w:multiLevelType w:val="hybridMultilevel"/>
    <w:tmpl w:val="51708BD4"/>
    <w:lvl w:ilvl="0" w:tplc="EAD48E88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  <w:lvl w:ilvl="1" w:tplc="5FEE82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95CCE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5568E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DBC06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9A2D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B463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C86DD1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E668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409F4820"/>
    <w:multiLevelType w:val="hybridMultilevel"/>
    <w:tmpl w:val="5784EDCC"/>
    <w:lvl w:ilvl="0" w:tplc="57D6352A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0562F37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EC78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C3089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761A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6EEF4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738D8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BC040F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C2EC0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48BC1947"/>
    <w:multiLevelType w:val="hybridMultilevel"/>
    <w:tmpl w:val="F8E4FB86"/>
    <w:lvl w:ilvl="0" w:tplc="CAB06F5C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 w:tplc="7A86F0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9462D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3BED2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526216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84A7E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06C17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98C9A5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1BC2C3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4BA243F0"/>
    <w:multiLevelType w:val="hybridMultilevel"/>
    <w:tmpl w:val="3BE8C2B0"/>
    <w:lvl w:ilvl="0" w:tplc="4D3087A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50CADF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E02AB0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84442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F1614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30BB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68DE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9E072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AB8DD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651764A6"/>
    <w:multiLevelType w:val="hybridMultilevel"/>
    <w:tmpl w:val="1F0EBB36"/>
    <w:lvl w:ilvl="0" w:tplc="960232E8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E16DD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9C8F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6C8A3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9D8B1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8B80C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930E3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382BC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1E6F0D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6B9D37B7"/>
    <w:multiLevelType w:val="hybridMultilevel"/>
    <w:tmpl w:val="5A249296"/>
    <w:lvl w:ilvl="0" w:tplc="F140A848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6BB8DD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2E325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56E16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F3E4B1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32C79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9CAB7C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6820C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45AB1B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690180519">
    <w:abstractNumId w:val="8"/>
  </w:num>
  <w:num w:numId="2" w16cid:durableId="1164475211">
    <w:abstractNumId w:val="7"/>
  </w:num>
  <w:num w:numId="3" w16cid:durableId="2066178875">
    <w:abstractNumId w:val="1"/>
  </w:num>
  <w:num w:numId="4" w16cid:durableId="1942253995">
    <w:abstractNumId w:val="6"/>
  </w:num>
  <w:num w:numId="5" w16cid:durableId="1774203201">
    <w:abstractNumId w:val="4"/>
  </w:num>
  <w:num w:numId="6" w16cid:durableId="946738965">
    <w:abstractNumId w:val="3"/>
  </w:num>
  <w:num w:numId="7" w16cid:durableId="357319733">
    <w:abstractNumId w:val="5"/>
  </w:num>
  <w:num w:numId="8" w16cid:durableId="1712876400">
    <w:abstractNumId w:val="2"/>
  </w:num>
  <w:num w:numId="9" w16cid:durableId="254555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0A9"/>
    <w:rsid w:val="000260A9"/>
    <w:rsid w:val="000E1789"/>
    <w:rsid w:val="003A017E"/>
    <w:rsid w:val="0053622D"/>
    <w:rsid w:val="005D203F"/>
    <w:rsid w:val="00982086"/>
    <w:rsid w:val="00D10A65"/>
    <w:rsid w:val="00D74D4F"/>
    <w:rsid w:val="00E7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EB300"/>
  <w15:docId w15:val="{74B726CA-F527-4984-A6A6-23CBF977E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Heading1Char">
    <w:name w:val="Heading 1 Char"/>
    <w:basedOn w:val="a2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2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2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2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2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2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2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2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2"/>
    <w:uiPriority w:val="10"/>
    <w:rPr>
      <w:sz w:val="48"/>
      <w:szCs w:val="48"/>
    </w:rPr>
  </w:style>
  <w:style w:type="character" w:customStyle="1" w:styleId="SubtitleChar">
    <w:name w:val="Subtitle Char"/>
    <w:basedOn w:val="a2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a5">
    <w:name w:val="Название объекта Знак"/>
    <w:basedOn w:val="a2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3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1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2"/>
    <w:uiPriority w:val="99"/>
    <w:unhideWhenUsed/>
    <w:rPr>
      <w:vertAlign w:val="superscript"/>
    </w:rPr>
  </w:style>
  <w:style w:type="paragraph" w:styleId="aa">
    <w:name w:val="endnote text"/>
    <w:basedOn w:val="a1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</w:pPr>
  </w:style>
  <w:style w:type="paragraph" w:styleId="24">
    <w:name w:val="toc 2"/>
    <w:basedOn w:val="a1"/>
    <w:next w:val="a1"/>
    <w:uiPriority w:val="39"/>
    <w:unhideWhenUsed/>
    <w:pPr>
      <w:spacing w:after="57"/>
      <w:ind w:left="283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/>
    </w:pPr>
  </w:style>
  <w:style w:type="paragraph" w:styleId="42">
    <w:name w:val="toc 4"/>
    <w:basedOn w:val="a1"/>
    <w:next w:val="a1"/>
    <w:uiPriority w:val="39"/>
    <w:unhideWhenUsed/>
    <w:pPr>
      <w:spacing w:after="57"/>
      <w:ind w:left="85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/>
    </w:pPr>
  </w:style>
  <w:style w:type="paragraph" w:styleId="ad">
    <w:name w:val="table of figures"/>
    <w:basedOn w:val="a1"/>
    <w:next w:val="a1"/>
    <w:uiPriority w:val="99"/>
    <w:unhideWhenUsed/>
    <w:pPr>
      <w:spacing w:after="0"/>
    </w:pPr>
  </w:style>
  <w:style w:type="paragraph" w:styleId="ae">
    <w:name w:val="header"/>
    <w:basedOn w:val="a1"/>
    <w:link w:val="af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">
    <w:name w:val="Верхний колонтитул Знак"/>
    <w:basedOn w:val="a2"/>
    <w:link w:val="ae"/>
    <w:uiPriority w:val="99"/>
  </w:style>
  <w:style w:type="paragraph" w:styleId="af0">
    <w:name w:val="footer"/>
    <w:basedOn w:val="a1"/>
    <w:link w:val="af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Нижний колонтитул Знак"/>
    <w:basedOn w:val="a2"/>
    <w:link w:val="af0"/>
    <w:uiPriority w:val="99"/>
  </w:style>
  <w:style w:type="paragraph" w:styleId="af2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f3">
    <w:name w:val="Title"/>
    <w:basedOn w:val="a1"/>
    <w:next w:val="a1"/>
    <w:link w:val="af4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4">
    <w:name w:val="Заголовок Знак"/>
    <w:basedOn w:val="a2"/>
    <w:link w:val="af3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f5">
    <w:name w:val="Subtitle"/>
    <w:basedOn w:val="a1"/>
    <w:next w:val="a1"/>
    <w:link w:val="af6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6">
    <w:name w:val="Подзаголовок Знак"/>
    <w:basedOn w:val="a2"/>
    <w:link w:val="af5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1"/>
    <w:uiPriority w:val="34"/>
    <w:qFormat/>
    <w:pPr>
      <w:ind w:left="720"/>
      <w:contextualSpacing/>
    </w:pPr>
  </w:style>
  <w:style w:type="paragraph" w:styleId="af8">
    <w:name w:val="Body Text"/>
    <w:basedOn w:val="a1"/>
    <w:link w:val="af9"/>
    <w:uiPriority w:val="99"/>
    <w:unhideWhenUsed/>
    <w:pPr>
      <w:spacing w:after="120"/>
    </w:pPr>
  </w:style>
  <w:style w:type="character" w:customStyle="1" w:styleId="af9">
    <w:name w:val="Основной текст Знак"/>
    <w:basedOn w:val="a2"/>
    <w:link w:val="af8"/>
    <w:uiPriority w:val="99"/>
  </w:style>
  <w:style w:type="paragraph" w:styleId="25">
    <w:name w:val="Body Text 2"/>
    <w:basedOn w:val="a1"/>
    <w:link w:val="26"/>
    <w:uiPriority w:val="99"/>
    <w:unhideWhenUsed/>
    <w:pPr>
      <w:spacing w:after="120" w:line="480" w:lineRule="auto"/>
    </w:pPr>
  </w:style>
  <w:style w:type="character" w:customStyle="1" w:styleId="26">
    <w:name w:val="Основной текст 2 Знак"/>
    <w:basedOn w:val="a2"/>
    <w:link w:val="25"/>
    <w:uiPriority w:val="99"/>
  </w:style>
  <w:style w:type="paragraph" w:styleId="35">
    <w:name w:val="Body Text 3"/>
    <w:basedOn w:val="a1"/>
    <w:link w:val="36"/>
    <w:uiPriority w:val="99"/>
    <w:unhideWhenUsed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2"/>
    <w:link w:val="35"/>
    <w:uiPriority w:val="99"/>
    <w:rPr>
      <w:sz w:val="16"/>
      <w:szCs w:val="16"/>
    </w:rPr>
  </w:style>
  <w:style w:type="paragraph" w:styleId="afa">
    <w:name w:val="List"/>
    <w:basedOn w:val="a1"/>
    <w:uiPriority w:val="99"/>
    <w:unhideWhenUsed/>
    <w:pPr>
      <w:ind w:left="360" w:hanging="360"/>
      <w:contextualSpacing/>
    </w:pPr>
  </w:style>
  <w:style w:type="paragraph" w:styleId="27">
    <w:name w:val="List 2"/>
    <w:basedOn w:val="a1"/>
    <w:uiPriority w:val="99"/>
    <w:unhideWhenUsed/>
    <w:pPr>
      <w:ind w:left="720" w:hanging="360"/>
      <w:contextualSpacing/>
    </w:pPr>
  </w:style>
  <w:style w:type="paragraph" w:styleId="37">
    <w:name w:val="List 3"/>
    <w:basedOn w:val="a1"/>
    <w:uiPriority w:val="99"/>
    <w:unhideWhenUsed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pPr>
      <w:numPr>
        <w:numId w:val="6"/>
      </w:numPr>
      <w:contextualSpacing/>
    </w:pPr>
  </w:style>
  <w:style w:type="paragraph" w:styleId="30">
    <w:name w:val="List Number 3"/>
    <w:basedOn w:val="a1"/>
    <w:uiPriority w:val="99"/>
    <w:unhideWhenUsed/>
    <w:pPr>
      <w:numPr>
        <w:numId w:val="7"/>
      </w:numPr>
      <w:contextualSpacing/>
    </w:pPr>
  </w:style>
  <w:style w:type="paragraph" w:styleId="afb">
    <w:name w:val="List Continue"/>
    <w:basedOn w:val="a1"/>
    <w:uiPriority w:val="99"/>
    <w:unhideWhenUsed/>
    <w:pPr>
      <w:spacing w:after="120"/>
      <w:ind w:left="360"/>
      <w:contextualSpacing/>
    </w:pPr>
  </w:style>
  <w:style w:type="paragraph" w:styleId="28">
    <w:name w:val="List Continue 2"/>
    <w:basedOn w:val="a1"/>
    <w:uiPriority w:val="99"/>
    <w:unhideWhenUsed/>
    <w:pPr>
      <w:spacing w:after="120"/>
      <w:ind w:left="720"/>
      <w:contextualSpacing/>
    </w:pPr>
  </w:style>
  <w:style w:type="paragraph" w:styleId="38">
    <w:name w:val="List Continue 3"/>
    <w:basedOn w:val="a1"/>
    <w:uiPriority w:val="99"/>
    <w:unhideWhenUsed/>
    <w:pPr>
      <w:spacing w:after="120"/>
      <w:ind w:left="1080"/>
      <w:contextualSpacing/>
    </w:pPr>
  </w:style>
  <w:style w:type="paragraph" w:styleId="afc">
    <w:name w:val="macro"/>
    <w:link w:val="afd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d">
    <w:name w:val="Текст макроса Знак"/>
    <w:basedOn w:val="a2"/>
    <w:link w:val="afc"/>
    <w:uiPriority w:val="99"/>
    <w:rPr>
      <w:rFonts w:ascii="Courier" w:hAnsi="Courier"/>
      <w:sz w:val="20"/>
      <w:szCs w:val="20"/>
    </w:rPr>
  </w:style>
  <w:style w:type="paragraph" w:styleId="29">
    <w:name w:val="Quote"/>
    <w:basedOn w:val="a1"/>
    <w:next w:val="a1"/>
    <w:link w:val="2a"/>
    <w:uiPriority w:val="29"/>
    <w:qFormat/>
    <w:rPr>
      <w:i/>
      <w:iCs/>
      <w:color w:val="000000" w:themeColor="text1"/>
    </w:rPr>
  </w:style>
  <w:style w:type="character" w:customStyle="1" w:styleId="2a">
    <w:name w:val="Цитата 2 Знак"/>
    <w:basedOn w:val="a2"/>
    <w:link w:val="29"/>
    <w:uiPriority w:val="29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1"/>
    <w:next w:val="a1"/>
    <w:link w:val="a5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e">
    <w:name w:val="Strong"/>
    <w:basedOn w:val="a2"/>
    <w:uiPriority w:val="22"/>
    <w:qFormat/>
    <w:rPr>
      <w:b/>
      <w:bCs/>
    </w:rPr>
  </w:style>
  <w:style w:type="character" w:styleId="aff">
    <w:name w:val="Emphasis"/>
    <w:basedOn w:val="a2"/>
    <w:uiPriority w:val="20"/>
    <w:qFormat/>
    <w:rPr>
      <w:i/>
      <w:iCs/>
    </w:rPr>
  </w:style>
  <w:style w:type="paragraph" w:styleId="aff0">
    <w:name w:val="Intense Quote"/>
    <w:basedOn w:val="a1"/>
    <w:next w:val="a1"/>
    <w:link w:val="aff1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Выделенная цитата Знак"/>
    <w:basedOn w:val="a2"/>
    <w:link w:val="aff0"/>
    <w:uiPriority w:val="30"/>
    <w:rPr>
      <w:b/>
      <w:bCs/>
      <w:i/>
      <w:iCs/>
      <w:color w:val="4F81BD" w:themeColor="accent1"/>
    </w:rPr>
  </w:style>
  <w:style w:type="character" w:styleId="aff2">
    <w:name w:val="Subtle Emphasis"/>
    <w:basedOn w:val="a2"/>
    <w:uiPriority w:val="19"/>
    <w:qFormat/>
    <w:rPr>
      <w:i/>
      <w:iCs/>
      <w:color w:val="808080" w:themeColor="text1" w:themeTint="7F"/>
    </w:rPr>
  </w:style>
  <w:style w:type="character" w:styleId="aff3">
    <w:name w:val="Intense Emphasis"/>
    <w:basedOn w:val="a2"/>
    <w:uiPriority w:val="21"/>
    <w:qFormat/>
    <w:rPr>
      <w:b/>
      <w:bCs/>
      <w:i/>
      <w:iCs/>
      <w:color w:val="4F81BD" w:themeColor="accent1"/>
    </w:rPr>
  </w:style>
  <w:style w:type="character" w:styleId="aff4">
    <w:name w:val="Subtle Reference"/>
    <w:basedOn w:val="a2"/>
    <w:uiPriority w:val="31"/>
    <w:qFormat/>
    <w:rPr>
      <w:smallCaps/>
      <w:color w:val="C0504D" w:themeColor="accent2"/>
      <w:u w:val="single"/>
    </w:rPr>
  </w:style>
  <w:style w:type="character" w:styleId="aff5">
    <w:name w:val="Intense Reference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2"/>
    <w:uiPriority w:val="33"/>
    <w:qFormat/>
    <w:rPr>
      <w:b/>
      <w:bCs/>
      <w:smallCaps/>
      <w:spacing w:val="5"/>
    </w:rPr>
  </w:style>
  <w:style w:type="paragraph" w:styleId="aff7">
    <w:name w:val="TOC Heading"/>
    <w:basedOn w:val="1"/>
    <w:next w:val="a1"/>
    <w:uiPriority w:val="39"/>
    <w:semiHidden/>
    <w:unhideWhenUsed/>
    <w:qFormat/>
    <w:pPr>
      <w:outlineLvl w:val="9"/>
    </w:pPr>
  </w:style>
  <w:style w:type="table" w:styleId="aff8">
    <w:name w:val="Table Grid"/>
    <w:basedOn w:val="a3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9">
    <w:name w:val="Light Shading"/>
    <w:basedOn w:val="a3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-11">
    <w:name w:val="Light Shading Accent 1"/>
    <w:basedOn w:val="a3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-21">
    <w:name w:val="Light Shading Accent 2"/>
    <w:basedOn w:val="a3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-31">
    <w:name w:val="Light Shading Accent 3"/>
    <w:basedOn w:val="a3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-41">
    <w:name w:val="Light Shading Accent 4"/>
    <w:basedOn w:val="a3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-51">
    <w:name w:val="Light Shading Accent 5"/>
    <w:basedOn w:val="a3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-61">
    <w:name w:val="Light Shading Accent 6"/>
    <w:basedOn w:val="a3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affa">
    <w:name w:val="Light List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2">
    <w:name w:val="Light List Accent 2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2">
    <w:name w:val="Light List Accent 3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2">
    <w:name w:val="Light List Accent 4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2">
    <w:name w:val="Light List Accent 5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2">
    <w:name w:val="Light List Accent 6"/>
    <w:basedOn w:val="a3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b">
    <w:name w:val="Light Grid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3">
    <w:name w:val="Light Grid Accent 1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3">
    <w:name w:val="Light Grid Accent 2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3">
    <w:name w:val="Light Grid Accent 3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3">
    <w:name w:val="Light Grid Accent 4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3">
    <w:name w:val="Light Grid Accent 5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3">
    <w:name w:val="Light Grid Accent 6"/>
    <w:basedOn w:val="a3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13">
    <w:name w:val="Medium Shading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Shading 1 Accent 1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">
    <w:name w:val="Medium Shading 1 Accent 2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">
    <w:name w:val="Medium Shading 1 Accent 3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">
    <w:name w:val="Medium Shading 1 Accent 4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">
    <w:name w:val="Medium Shading 1 Accent 5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">
    <w:name w:val="Medium Shading 1 Accent 6"/>
    <w:basedOn w:val="a3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Shading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1">
    <w:name w:val="Medium Shading 2 Accent 1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2">
    <w:name w:val="Medium Shading 2 Accent 2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3">
    <w:name w:val="Medium Shading 2 Accent 3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4">
    <w:name w:val="Medium Shading 2 Accent 4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5">
    <w:name w:val="Medium Shading 2 Accent 5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2-6">
    <w:name w:val="Medium Shading 2 Accent 6"/>
    <w:basedOn w:val="a3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14">
    <w:name w:val="Medium Lis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c">
    <w:name w:val="Medium Lis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10">
    <w:name w:val="Medium List 2 Accent 1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20">
    <w:name w:val="Medium List 2 Accent 2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30">
    <w:name w:val="Medium List 2 Accent 3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40">
    <w:name w:val="Medium List 2 Accent 4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50">
    <w:name w:val="Medium List 2 Accent 5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2-60">
    <w:name w:val="Medium List 2 Accent 6"/>
    <w:basedOn w:val="a3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15">
    <w:name w:val="Medium Grid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d">
    <w:name w:val="Medium Grid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9">
    <w:name w:val="Medium Grid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c">
    <w:name w:val="Dark List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-14">
    <w:name w:val="Dark List Accent 1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-24">
    <w:name w:val="Dark List Accent 2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-34">
    <w:name w:val="Dark List Accent 3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-44">
    <w:name w:val="Dark List Accent 4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-54">
    <w:name w:val="Dark List Accent 5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-64">
    <w:name w:val="Dark List Accent 6"/>
    <w:basedOn w:val="a3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affd">
    <w:name w:val="Colorful Shading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5">
    <w:name w:val="Colorful Shading Accent 1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5">
    <w:name w:val="Colorful Shading Accent 2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5">
    <w:name w:val="Colorful Shading Accent 3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Shading Accent 4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5">
    <w:name w:val="Colorful Shading Accent 5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5">
    <w:name w:val="Colorful Shading Accent 6"/>
    <w:basedOn w:val="a3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e">
    <w:name w:val="Colorful List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6">
    <w:name w:val="Colorful List Accent 1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6">
    <w:name w:val="Colorful List Accent 2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6">
    <w:name w:val="Colorful List Accent 3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6">
    <w:name w:val="Colorful List Accent 4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6">
    <w:name w:val="Colorful List Accent 5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6">
    <w:name w:val="Colorful List Accent 6"/>
    <w:basedOn w:val="a3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">
    <w:name w:val="Colorful Grid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7">
    <w:name w:val="Colorful Grid Accent 1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7">
    <w:name w:val="Colorful Grid Accent 2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7">
    <w:name w:val="Colorful Grid Accent 3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7">
    <w:name w:val="Colorful Grid Accent 4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7">
    <w:name w:val="Colorful Grid Accent 5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7">
    <w:name w:val="Colorful Grid Accent 6"/>
    <w:basedOn w:val="a3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f0">
    <w:name w:val="Hyperlink"/>
    <w:basedOn w:val="a2"/>
    <w:uiPriority w:val="99"/>
    <w:unhideWhenUsed/>
    <w:rPr>
      <w:color w:val="0000FF" w:themeColor="hyperlink"/>
      <w:u w:val="single"/>
    </w:rPr>
  </w:style>
  <w:style w:type="character" w:styleId="afff1">
    <w:name w:val="Unresolved Mention"/>
    <w:basedOn w:val="a2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antorgi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tan-torgi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17</cp:revision>
  <dcterms:created xsi:type="dcterms:W3CDTF">2013-12-23T23:15:00Z</dcterms:created>
  <dcterms:modified xsi:type="dcterms:W3CDTF">2026-09-17T06:31:00Z</dcterms:modified>
  <cp:category/>
</cp:coreProperties>
</file>